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5B1E9" w14:textId="005B224B" w:rsidR="008A5EEC" w:rsidRDefault="008A5EEC" w:rsidP="008A5EEC">
      <w:pPr>
        <w:widowControl w:val="0"/>
        <w:tabs>
          <w:tab w:val="right" w:pos="9639"/>
        </w:tabs>
        <w:spacing w:after="0"/>
        <w:rPr>
          <w:rFonts w:ascii="Arial" w:hAnsi="Arial" w:cs="Arial"/>
          <w:b/>
          <w:bCs/>
          <w:sz w:val="24"/>
          <w:lang w:eastAsia="en-US"/>
        </w:rPr>
      </w:pPr>
      <w:bookmarkStart w:id="0" w:name="_Hlk54275161"/>
      <w:bookmarkStart w:id="1" w:name="_Toc142579058"/>
      <w:bookmarkEnd w:id="0"/>
      <w:r>
        <w:rPr>
          <w:rFonts w:ascii="Arial" w:hAnsi="Arial" w:cs="Arial"/>
          <w:b/>
          <w:sz w:val="24"/>
          <w:lang w:eastAsia="en-US"/>
        </w:rPr>
        <w:t>3GPP TSG-RAN WG2 #127</w:t>
      </w:r>
      <w:r>
        <w:rPr>
          <w:rFonts w:ascii="Arial" w:hAnsi="Arial" w:cs="Arial"/>
          <w:b/>
          <w:sz w:val="24"/>
          <w:lang w:eastAsia="en-US"/>
        </w:rPr>
        <w:tab/>
      </w:r>
      <w:bookmarkEnd w:id="1"/>
      <w:r w:rsidR="006C6D70" w:rsidRPr="006C6D70">
        <w:rPr>
          <w:rFonts w:ascii="Arial" w:hAnsi="Arial" w:cs="Arial"/>
          <w:b/>
          <w:sz w:val="32"/>
          <w:szCs w:val="24"/>
          <w:lang w:eastAsia="en-US"/>
        </w:rPr>
        <w:t>R2-2407249</w:t>
      </w:r>
    </w:p>
    <w:p w14:paraId="27570798" w14:textId="77777777" w:rsidR="008A5EEC" w:rsidRDefault="008A5EEC" w:rsidP="008A5EEC">
      <w:pPr>
        <w:widowControl w:val="0"/>
        <w:tabs>
          <w:tab w:val="right" w:pos="9639"/>
        </w:tabs>
        <w:spacing w:after="0"/>
        <w:rPr>
          <w:rFonts w:ascii="Arial" w:hAnsi="Arial" w:cs="Arial"/>
          <w:b/>
          <w:sz w:val="24"/>
          <w:lang w:eastAsia="en-US"/>
        </w:rPr>
      </w:pPr>
      <w:bookmarkStart w:id="2" w:name="_Hlk163070749"/>
      <w:r>
        <w:rPr>
          <w:rFonts w:ascii="Arial" w:hAnsi="Arial" w:cs="Arial"/>
          <w:b/>
          <w:sz w:val="24"/>
          <w:lang w:eastAsia="en-US"/>
        </w:rPr>
        <w:t>Maastricht, Netherlands, 19th – 23th August 2024</w:t>
      </w:r>
      <w:bookmarkEnd w:id="2"/>
    </w:p>
    <w:p w14:paraId="252563D4" w14:textId="77777777" w:rsidR="00E90E49" w:rsidRPr="00CE0424" w:rsidRDefault="00E90E49" w:rsidP="00357380">
      <w:pPr>
        <w:pStyle w:val="3GPPHeader"/>
      </w:pPr>
    </w:p>
    <w:p w14:paraId="267378A2" w14:textId="0F6FB3D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72393">
        <w:rPr>
          <w:sz w:val="22"/>
          <w:szCs w:val="22"/>
        </w:rPr>
        <w:t>8.10.</w:t>
      </w:r>
      <w:r w:rsidR="00937EC6">
        <w:rPr>
          <w:sz w:val="22"/>
          <w:szCs w:val="22"/>
        </w:rPr>
        <w:t>5</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9C905BD" w:rsidR="00E90E49" w:rsidRPr="00CE0424" w:rsidRDefault="003D3C45" w:rsidP="00311702">
      <w:pPr>
        <w:pStyle w:val="3GPPHeader"/>
        <w:rPr>
          <w:sz w:val="22"/>
          <w:szCs w:val="22"/>
        </w:rPr>
      </w:pPr>
      <w:r>
        <w:rPr>
          <w:sz w:val="22"/>
          <w:szCs w:val="22"/>
        </w:rPr>
        <w:t>Title:</w:t>
      </w:r>
      <w:r w:rsidR="00E90E49" w:rsidRPr="00CE0424">
        <w:rPr>
          <w:sz w:val="22"/>
          <w:szCs w:val="22"/>
        </w:rPr>
        <w:tab/>
      </w:r>
      <w:r w:rsidR="00972393" w:rsidRPr="00972393">
        <w:rPr>
          <w:sz w:val="22"/>
          <w:szCs w:val="22"/>
        </w:rPr>
        <w:t>On Rel.18 leftovers</w:t>
      </w:r>
      <w:r w:rsidR="00991AE2">
        <w:rPr>
          <w:sz w:val="22"/>
          <w:szCs w:val="22"/>
        </w:rPr>
        <w:t xml:space="preserve"> </w:t>
      </w:r>
    </w:p>
    <w:p w14:paraId="1DD4A9BC" w14:textId="3A124E9E" w:rsidR="00E90E49" w:rsidRPr="008D6BC1" w:rsidRDefault="00E90E49" w:rsidP="008D6BC1">
      <w:pPr>
        <w:pStyle w:val="3GPPHeader"/>
        <w:rPr>
          <w:sz w:val="22"/>
          <w:szCs w:val="22"/>
        </w:rPr>
      </w:pPr>
      <w:r w:rsidRPr="00972393">
        <w:rPr>
          <w:sz w:val="22"/>
          <w:szCs w:val="22"/>
        </w:rPr>
        <w:t>Document for:</w:t>
      </w:r>
      <w:r w:rsidRPr="00972393">
        <w:rPr>
          <w:sz w:val="22"/>
          <w:szCs w:val="22"/>
        </w:rPr>
        <w:tab/>
        <w:t>Discussion</w:t>
      </w:r>
    </w:p>
    <w:p w14:paraId="028056FC" w14:textId="1BC5561E" w:rsidR="00E90E49" w:rsidRDefault="00230D18" w:rsidP="00CE0424">
      <w:pPr>
        <w:pStyle w:val="Heading1"/>
      </w:pPr>
      <w:r>
        <w:t>1</w:t>
      </w:r>
      <w:r>
        <w:tab/>
      </w:r>
      <w:r w:rsidR="00E90E49" w:rsidRPr="00CE0424">
        <w:t>Introduction</w:t>
      </w:r>
    </w:p>
    <w:p w14:paraId="31C06BC7" w14:textId="7C031A2F" w:rsidR="00972393" w:rsidRPr="00972393" w:rsidRDefault="00972393" w:rsidP="00972393">
      <w:pPr>
        <w:rPr>
          <w:rFonts w:ascii="Arial" w:hAnsi="Arial"/>
          <w:lang w:eastAsia="zh-CN"/>
        </w:rPr>
      </w:pPr>
      <w:r w:rsidRPr="00972393">
        <w:rPr>
          <w:rFonts w:ascii="Arial" w:hAnsi="Arial"/>
          <w:lang w:eastAsia="zh-CN"/>
        </w:rPr>
        <w:t>Rel-19 WID supports the following leftover topics in RAN2</w:t>
      </w:r>
      <w:r w:rsidR="008F7FAE">
        <w:rPr>
          <w:rFonts w:ascii="Arial" w:hAnsi="Arial"/>
          <w:lang w:eastAsia="zh-CN"/>
        </w:rPr>
        <w:t>.</w:t>
      </w:r>
    </w:p>
    <w:p w14:paraId="5F146EF6" w14:textId="72EA7C14" w:rsidR="00972393" w:rsidRPr="00972393" w:rsidRDefault="00972393" w:rsidP="00972393">
      <w:pPr>
        <w:rPr>
          <w:rFonts w:ascii="Arial" w:hAnsi="Arial"/>
          <w:lang w:eastAsia="zh-CN"/>
        </w:rPr>
      </w:pPr>
      <w:r w:rsidRPr="00972393">
        <w:rPr>
          <w:rFonts w:ascii="Arial" w:hAnsi="Arial"/>
          <w:noProof/>
          <w:lang w:eastAsia="zh-CN"/>
        </w:rPr>
        <mc:AlternateContent>
          <mc:Choice Requires="wps">
            <w:drawing>
              <wp:inline distT="0" distB="0" distL="0" distR="0" wp14:anchorId="28A6F092" wp14:editId="26EEC154">
                <wp:extent cx="6157912" cy="1404620"/>
                <wp:effectExtent l="0" t="0" r="14605" b="266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3D7AAD3F" w14:textId="77777777" w:rsidR="00972393" w:rsidRPr="00972393" w:rsidRDefault="00972393" w:rsidP="00972393">
                            <w:pPr>
                              <w:rPr>
                                <w:rFonts w:ascii="Arial" w:hAnsi="Arial"/>
                                <w:lang w:eastAsia="zh-CN"/>
                              </w:rPr>
                            </w:pPr>
                            <w:r w:rsidRPr="00972393">
                              <w:rPr>
                                <w:rFonts w:ascii="Arial" w:hAnsi="Arial"/>
                                <w:lang w:eastAsia="zh-CN"/>
                              </w:rPr>
                              <w:t>- Support of the leftovers in Rel-18 SON/MDT [RAN3, RAN2]:</w:t>
                            </w:r>
                          </w:p>
                          <w:p w14:paraId="265523E1" w14:textId="77777777" w:rsidR="00972393" w:rsidRPr="00972393" w:rsidRDefault="00972393" w:rsidP="00972393">
                            <w:pPr>
                              <w:rPr>
                                <w:rFonts w:ascii="Arial" w:hAnsi="Arial"/>
                                <w:lang w:eastAsia="zh-CN"/>
                              </w:rPr>
                            </w:pPr>
                            <w:r w:rsidRPr="00972393">
                              <w:rPr>
                                <w:rFonts w:ascii="Arial" w:hAnsi="Arial"/>
                                <w:lang w:eastAsia="zh-CN"/>
                              </w:rPr>
                              <w:t>•</w:t>
                            </w:r>
                            <w:r w:rsidRPr="00972393">
                              <w:rPr>
                                <w:rFonts w:ascii="Arial" w:hAnsi="Arial"/>
                                <w:lang w:eastAsia="zh-CN"/>
                              </w:rPr>
                              <w:tab/>
                              <w:t>RACH optimization for SDT</w:t>
                            </w:r>
                          </w:p>
                          <w:p w14:paraId="2B4E27FC" w14:textId="77777777" w:rsidR="00972393" w:rsidRPr="00972393" w:rsidRDefault="00972393" w:rsidP="00972393">
                            <w:pPr>
                              <w:rPr>
                                <w:rFonts w:ascii="Arial" w:hAnsi="Arial"/>
                                <w:lang w:eastAsia="zh-CN"/>
                              </w:rPr>
                            </w:pPr>
                            <w:r w:rsidRPr="00972393">
                              <w:rPr>
                                <w:rFonts w:ascii="Arial" w:hAnsi="Arial"/>
                                <w:lang w:eastAsia="zh-CN"/>
                              </w:rPr>
                              <w:t>•</w:t>
                            </w:r>
                            <w:r w:rsidRPr="00972393">
                              <w:rPr>
                                <w:rFonts w:ascii="Arial" w:hAnsi="Arial"/>
                                <w:lang w:eastAsia="zh-CN"/>
                              </w:rPr>
                              <w:tab/>
                              <w:t>MHI Enhancement for SCG Deactivation/Activation</w:t>
                            </w:r>
                          </w:p>
                          <w:p w14:paraId="7060BFB1" w14:textId="77777777" w:rsidR="00972393" w:rsidRPr="00972393" w:rsidRDefault="00972393" w:rsidP="00972393">
                            <w:pPr>
                              <w:rPr>
                                <w:rFonts w:ascii="Arial" w:hAnsi="Arial"/>
                                <w:lang w:eastAsia="zh-CN"/>
                              </w:rPr>
                            </w:pPr>
                            <w:r w:rsidRPr="00972393">
                              <w:rPr>
                                <w:rFonts w:ascii="Arial" w:hAnsi="Arial"/>
                                <w:lang w:eastAsia="zh-CN"/>
                              </w:rPr>
                              <w:t>•</w:t>
                            </w:r>
                            <w:r w:rsidRPr="00972393">
                              <w:rPr>
                                <w:rFonts w:ascii="Arial" w:hAnsi="Arial"/>
                                <w:lang w:eastAsia="zh-CN"/>
                              </w:rPr>
                              <w:tab/>
                              <w:t>MRO for MR-DC SCG failure</w:t>
                            </w:r>
                          </w:p>
                        </w:txbxContent>
                      </wps:txbx>
                      <wps:bodyPr rot="0" vert="horz" wrap="square" lIns="91440" tIns="45720" rIns="91440" bIns="45720" anchor="t" anchorCtr="0">
                        <a:spAutoFit/>
                      </wps:bodyPr>
                    </wps:wsp>
                  </a:graphicData>
                </a:graphic>
              </wp:inline>
            </w:drawing>
          </mc:Choice>
          <mc:Fallback>
            <w:pict>
              <v:shapetype w14:anchorId="28A6F092" id="_x0000_t202" coordsize="21600,21600" o:spt="202" path="m,l,21600r21600,l21600,xe">
                <v:stroke joinstyle="miter"/>
                <v:path gradientshapeok="t" o:connecttype="rect"/>
              </v:shapetype>
              <v:shape id="Text Box 217" o:spid="_x0000_s1026"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V5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S4KOZXy2LKmSRbMctni2kqSybKp+sOfXivoGdxUXGkqiZ5sX/wIYYjyieX+JoHo5uNNiZt&#10;cFuvDbK9oA7YpJEyeOFmLBsqvpxP50cCf5XI0/iTRK8DtbLRfcWvz06ijNze2SY1WhDaHNcUsrEn&#10;kJHdkWIY65EcI9AamgMhRTi2LH0xWnSAPzkbqF0r7n/sBCrOzAdLZVkWs1ns77SZza+IIcNLS31p&#10;EVaSVMUDZ8flOqQ/kYC5OyrfRiewz5GcYqU2TLxPXyb2+eU+eT1/7NUvAAAA//8DAFBLAwQUAAYA&#10;CAAAACEAcb7619wAAAAFAQAADwAAAGRycy9kb3ducmV2LnhtbEyPwU7DMBBE70j8g7VI3KjTSBQa&#10;4lSIqmdKQULcNvY2jhqvQ+ymKV+P4QKXlUYzmnlbribXiZGG0HpWMJ9lIIi1Ny03Ct5eNzf3IEJE&#10;Nth5JgVnCrCqLi9KLIw/8QuNu9iIVMKhQAU2xr6QMmhLDsPM98TJ2/vBYUxyaKQZ8JTKXSfzLFtI&#10;hy2nBYs9PVnSh93RKQjr7Wev99v6YM3563k93ur3zYdS11fT4wOISFP8C8MPfkKHKjHV/sgmiE5B&#10;eiT+3uQtF8s7ELWCPJ/nIKtS/qevvgEAAP//AwBQSwECLQAUAAYACAAAACEAtoM4kv4AAADhAQAA&#10;EwAAAAAAAAAAAAAAAAAAAAAAW0NvbnRlbnRfVHlwZXNdLnhtbFBLAQItABQABgAIAAAAIQA4/SH/&#10;1gAAAJQBAAALAAAAAAAAAAAAAAAAAC8BAABfcmVscy8ucmVsc1BLAQItABQABgAIAAAAIQBwUPV5&#10;EgIAACAEAAAOAAAAAAAAAAAAAAAAAC4CAABkcnMvZTJvRG9jLnhtbFBLAQItABQABgAIAAAAIQBx&#10;vvrX3AAAAAUBAAAPAAAAAAAAAAAAAAAAAGwEAABkcnMvZG93bnJldi54bWxQSwUGAAAAAAQABADz&#10;AAAAdQUAAAAA&#10;">
                <v:textbox style="mso-fit-shape-to-text:t">
                  <w:txbxContent>
                    <w:p w14:paraId="3D7AAD3F" w14:textId="77777777" w:rsidR="00972393" w:rsidRPr="00972393" w:rsidRDefault="00972393" w:rsidP="00972393">
                      <w:pPr>
                        <w:rPr>
                          <w:rFonts w:ascii="Arial" w:hAnsi="Arial"/>
                          <w:lang w:eastAsia="zh-CN"/>
                        </w:rPr>
                      </w:pPr>
                      <w:r w:rsidRPr="00972393">
                        <w:rPr>
                          <w:rFonts w:ascii="Arial" w:hAnsi="Arial"/>
                          <w:lang w:eastAsia="zh-CN"/>
                        </w:rPr>
                        <w:t>- Support of the leftovers in Rel-18 SON/MDT [RAN3, RAN2]:</w:t>
                      </w:r>
                    </w:p>
                    <w:p w14:paraId="265523E1" w14:textId="77777777" w:rsidR="00972393" w:rsidRPr="00972393" w:rsidRDefault="00972393" w:rsidP="00972393">
                      <w:pPr>
                        <w:rPr>
                          <w:rFonts w:ascii="Arial" w:hAnsi="Arial"/>
                          <w:lang w:eastAsia="zh-CN"/>
                        </w:rPr>
                      </w:pPr>
                      <w:r w:rsidRPr="00972393">
                        <w:rPr>
                          <w:rFonts w:ascii="Arial" w:hAnsi="Arial"/>
                          <w:lang w:eastAsia="zh-CN"/>
                        </w:rPr>
                        <w:t>•</w:t>
                      </w:r>
                      <w:r w:rsidRPr="00972393">
                        <w:rPr>
                          <w:rFonts w:ascii="Arial" w:hAnsi="Arial"/>
                          <w:lang w:eastAsia="zh-CN"/>
                        </w:rPr>
                        <w:tab/>
                        <w:t>RACH optimization for SDT</w:t>
                      </w:r>
                    </w:p>
                    <w:p w14:paraId="2B4E27FC" w14:textId="77777777" w:rsidR="00972393" w:rsidRPr="00972393" w:rsidRDefault="00972393" w:rsidP="00972393">
                      <w:pPr>
                        <w:rPr>
                          <w:rFonts w:ascii="Arial" w:hAnsi="Arial"/>
                          <w:lang w:eastAsia="zh-CN"/>
                        </w:rPr>
                      </w:pPr>
                      <w:r w:rsidRPr="00972393">
                        <w:rPr>
                          <w:rFonts w:ascii="Arial" w:hAnsi="Arial"/>
                          <w:lang w:eastAsia="zh-CN"/>
                        </w:rPr>
                        <w:t>•</w:t>
                      </w:r>
                      <w:r w:rsidRPr="00972393">
                        <w:rPr>
                          <w:rFonts w:ascii="Arial" w:hAnsi="Arial"/>
                          <w:lang w:eastAsia="zh-CN"/>
                        </w:rPr>
                        <w:tab/>
                        <w:t>MHI Enhancement for SCG Deactivation/Activation</w:t>
                      </w:r>
                    </w:p>
                    <w:p w14:paraId="7060BFB1" w14:textId="77777777" w:rsidR="00972393" w:rsidRPr="00972393" w:rsidRDefault="00972393" w:rsidP="00972393">
                      <w:pPr>
                        <w:rPr>
                          <w:rFonts w:ascii="Arial" w:hAnsi="Arial"/>
                          <w:lang w:eastAsia="zh-CN"/>
                        </w:rPr>
                      </w:pPr>
                      <w:r w:rsidRPr="00972393">
                        <w:rPr>
                          <w:rFonts w:ascii="Arial" w:hAnsi="Arial"/>
                          <w:lang w:eastAsia="zh-CN"/>
                        </w:rPr>
                        <w:t>•</w:t>
                      </w:r>
                      <w:r w:rsidRPr="00972393">
                        <w:rPr>
                          <w:rFonts w:ascii="Arial" w:hAnsi="Arial"/>
                          <w:lang w:eastAsia="zh-CN"/>
                        </w:rPr>
                        <w:tab/>
                        <w:t>MRO for MR-DC SCG failure</w:t>
                      </w:r>
                    </w:p>
                  </w:txbxContent>
                </v:textbox>
                <w10:anchorlock/>
              </v:shape>
            </w:pict>
          </mc:Fallback>
        </mc:AlternateContent>
      </w:r>
    </w:p>
    <w:p w14:paraId="7C858AD2" w14:textId="3182F9A7" w:rsidR="003267B7" w:rsidRPr="003267B7" w:rsidRDefault="00972393" w:rsidP="00972393">
      <w:pPr>
        <w:rPr>
          <w:rFonts w:ascii="Arial" w:hAnsi="Arial"/>
          <w:lang w:eastAsia="zh-CN"/>
        </w:rPr>
      </w:pPr>
      <w:r w:rsidRPr="00972393">
        <w:rPr>
          <w:rFonts w:ascii="Arial" w:hAnsi="Arial"/>
          <w:lang w:eastAsia="zh-CN"/>
        </w:rPr>
        <w:t>In this paper, we discuss these leftovers.</w:t>
      </w:r>
    </w:p>
    <w:p w14:paraId="59E13DC4" w14:textId="1B14CC86" w:rsidR="004000E8" w:rsidRPr="00CE0424" w:rsidRDefault="00230D18" w:rsidP="00CE0424">
      <w:pPr>
        <w:pStyle w:val="Heading1"/>
      </w:pPr>
      <w:bookmarkStart w:id="3" w:name="_Ref178064866"/>
      <w:r>
        <w:t>2</w:t>
      </w:r>
      <w:r>
        <w:tab/>
      </w:r>
      <w:r w:rsidR="004000E8" w:rsidRPr="00CE0424">
        <w:t>Discussion</w:t>
      </w:r>
      <w:bookmarkEnd w:id="3"/>
    </w:p>
    <w:p w14:paraId="310B7BBE" w14:textId="0A31164B" w:rsidR="00F63950" w:rsidRDefault="00230D18" w:rsidP="00F63950">
      <w:pPr>
        <w:pStyle w:val="Heading2"/>
      </w:pPr>
      <w:r>
        <w:t>2.1</w:t>
      </w:r>
      <w:r>
        <w:tab/>
      </w:r>
      <w:r w:rsidR="00972393" w:rsidRPr="00972393">
        <w:t>MHI Enhancement for SCG Deactivation/Activation</w:t>
      </w:r>
    </w:p>
    <w:p w14:paraId="389F1E40" w14:textId="1BF9E44E" w:rsidR="00972393" w:rsidRDefault="00972393" w:rsidP="00972393">
      <w:pPr>
        <w:pStyle w:val="BodyText"/>
      </w:pPr>
      <w:r>
        <w:t>In Rel-16, Mobility History Information (MHI) was introduced, logging up to 16 PCells visited by the UE. In</w:t>
      </w:r>
      <w:r w:rsidR="008F7FAE">
        <w:t> </w:t>
      </w:r>
      <w:r>
        <w:t>Rel</w:t>
      </w:r>
      <w:r w:rsidR="008F7FAE">
        <w:noBreakHyphen/>
      </w:r>
      <w:r>
        <w:t>17, PSCell MHI was introduced, enabling the UE to log up to 16 visited PSCells, or time with no PSCell, across all reported PCells. In Rel-17, SCG activation and deactivation was also introduced, which enables power saving while still allowing fast access to the SCG when needed.</w:t>
      </w:r>
    </w:p>
    <w:p w14:paraId="4B585BE3" w14:textId="0A18F0B7" w:rsidR="00972393" w:rsidRDefault="00972393" w:rsidP="00972393">
      <w:pPr>
        <w:pStyle w:val="BodyText"/>
      </w:pPr>
      <w:r>
        <w:t xml:space="preserve">In Rel-18, the impact of SCG activation and deactivation on the Mobility History Information was brought up by some companies, </w:t>
      </w:r>
      <w:r w:rsidRPr="00D07FF7">
        <w:t>see for example</w:t>
      </w:r>
      <w:r w:rsidR="00D07FF7" w:rsidRPr="00D07FF7">
        <w:t xml:space="preserve"> </w:t>
      </w:r>
      <w:r w:rsidR="00D07FF7" w:rsidRPr="00D07FF7">
        <w:fldChar w:fldCharType="begin"/>
      </w:r>
      <w:r w:rsidR="00D07FF7" w:rsidRPr="00D07FF7">
        <w:instrText xml:space="preserve"> REF _Ref174151459 \r \h </w:instrText>
      </w:r>
      <w:r w:rsidR="00D07FF7">
        <w:instrText xml:space="preserve"> \* MERGEFORMAT </w:instrText>
      </w:r>
      <w:r w:rsidR="00D07FF7" w:rsidRPr="00D07FF7">
        <w:fldChar w:fldCharType="separate"/>
      </w:r>
      <w:r w:rsidR="00D07FF7" w:rsidRPr="00D07FF7">
        <w:t>[1]</w:t>
      </w:r>
      <w:r w:rsidR="00D07FF7" w:rsidRPr="00D07FF7">
        <w:fldChar w:fldCharType="end"/>
      </w:r>
      <w:r w:rsidRPr="00D07FF7">
        <w:t xml:space="preserve">, </w:t>
      </w:r>
      <w:r w:rsidR="00D07FF7" w:rsidRPr="00D07FF7">
        <w:fldChar w:fldCharType="begin"/>
      </w:r>
      <w:r w:rsidR="00D07FF7" w:rsidRPr="00D07FF7">
        <w:instrText xml:space="preserve"> REF _Ref170227300 \r \h </w:instrText>
      </w:r>
      <w:r w:rsidR="00D07FF7">
        <w:instrText xml:space="preserve"> \* MERGEFORMAT </w:instrText>
      </w:r>
      <w:r w:rsidR="00D07FF7" w:rsidRPr="00D07FF7">
        <w:fldChar w:fldCharType="separate"/>
      </w:r>
      <w:r w:rsidR="00D07FF7" w:rsidRPr="00D07FF7">
        <w:t>[2]</w:t>
      </w:r>
      <w:r w:rsidR="00D07FF7" w:rsidRPr="00D07FF7">
        <w:fldChar w:fldCharType="end"/>
      </w:r>
      <w:r w:rsidRPr="00D07FF7">
        <w:t xml:space="preserve">, but the topic was postponed due to lack of time. In the Rel-19 SON/MDT Work Item </w:t>
      </w:r>
      <w:r w:rsidR="00D07FF7" w:rsidRPr="00D07FF7">
        <w:fldChar w:fldCharType="begin"/>
      </w:r>
      <w:r w:rsidR="00D07FF7" w:rsidRPr="00D07FF7">
        <w:instrText xml:space="preserve"> REF _Ref170227307 \r \h </w:instrText>
      </w:r>
      <w:r w:rsidR="00D07FF7">
        <w:instrText xml:space="preserve"> \* MERGEFORMAT </w:instrText>
      </w:r>
      <w:r w:rsidR="00D07FF7" w:rsidRPr="00D07FF7">
        <w:fldChar w:fldCharType="separate"/>
      </w:r>
      <w:r w:rsidR="00D07FF7" w:rsidRPr="00D07FF7">
        <w:t>[3]</w:t>
      </w:r>
      <w:r w:rsidR="00D07FF7" w:rsidRPr="00D07FF7">
        <w:fldChar w:fldCharType="end"/>
      </w:r>
      <w:r w:rsidRPr="00D07FF7">
        <w:t>, MHI enhancement</w:t>
      </w:r>
      <w:r>
        <w:t xml:space="preserve"> for SCG deactivation/activation is listed as one of the objectives for the Work Item.</w:t>
      </w:r>
    </w:p>
    <w:p w14:paraId="17C9E238" w14:textId="77777777" w:rsidR="00972393" w:rsidRDefault="00972393" w:rsidP="00972393">
      <w:pPr>
        <w:pStyle w:val="BodyText"/>
      </w:pPr>
      <w:r>
        <w:t xml:space="preserve">The logging of Mobility History Information is performed when the stay in the cell to be logged is ending, typically upon handover or cell change. The cell the UE is leaving is then logged together with information on the time spent in the cell. Similarly, the logging of PSCell Mobility History Information is done upon addition of a PSCell, release of a PSCell, or upon change of PCell (since the PSCell entries are stored in a substructure to the PCell entries). Just as the PCell history, the PSCell history includes the cell ID and the time spent in the cell, or the time spent with no PSCell. The logged information will, after reporting to the network, help the network to understand the movement of the UE and identifying ping-pong or coverage issues in the network. </w:t>
      </w:r>
    </w:p>
    <w:p w14:paraId="20970550" w14:textId="65AF701D" w:rsidR="0027144F" w:rsidRDefault="00972393" w:rsidP="00972393">
      <w:pPr>
        <w:pStyle w:val="BodyText"/>
      </w:pPr>
      <w:r>
        <w:t>From the current MHI framework, there is no possibility to see from the Mobility History Information whether the SCG state has been set to activated or deactivated during the time the UE spent in the PSCell.</w:t>
      </w:r>
    </w:p>
    <w:p w14:paraId="3836DE30" w14:textId="4EB59039" w:rsidR="00972393" w:rsidRDefault="00972393" w:rsidP="00972393">
      <w:pPr>
        <w:pStyle w:val="Observation"/>
      </w:pPr>
      <w:bookmarkStart w:id="4" w:name="_Toc174054144"/>
      <w:r w:rsidRPr="00972393">
        <w:t>SCG activation and deactivation was introduced in Rel-17.</w:t>
      </w:r>
      <w:bookmarkEnd w:id="4"/>
    </w:p>
    <w:p w14:paraId="64BA4642" w14:textId="5596E8AB" w:rsidR="00972393" w:rsidRPr="00CE0424" w:rsidRDefault="00972393" w:rsidP="00972393">
      <w:pPr>
        <w:pStyle w:val="Observation"/>
      </w:pPr>
      <w:bookmarkStart w:id="5" w:name="_Toc174054145"/>
      <w:r w:rsidRPr="00972393">
        <w:t>There is no possibility to see from the Mobility History Information whether the SCG state was set to activated or deactivated.</w:t>
      </w:r>
      <w:bookmarkEnd w:id="5"/>
    </w:p>
    <w:p w14:paraId="4CA3851F" w14:textId="6670ECDD" w:rsidR="00972393" w:rsidRDefault="00972393" w:rsidP="00972393">
      <w:pPr>
        <w:pStyle w:val="BodyText"/>
      </w:pPr>
      <w:r w:rsidRPr="00972393">
        <w:lastRenderedPageBreak/>
        <w:t>With the introduction of SCG activation and deactivation, a PSCell addition or change could take place with the SCG state set to either activated or deactivated. Information indicating the SCG state during the stay in the PSCell could give additional valuable insights and enable optimization of the configuration of dual connectivity.</w:t>
      </w:r>
    </w:p>
    <w:p w14:paraId="334B19FB" w14:textId="65FF08FD" w:rsidR="00972393" w:rsidRPr="00CE0424" w:rsidRDefault="00972393" w:rsidP="00972393">
      <w:pPr>
        <w:pStyle w:val="Observation"/>
      </w:pPr>
      <w:bookmarkStart w:id="6" w:name="_Toc347822666"/>
      <w:bookmarkStart w:id="7" w:name="_Toc347823812"/>
      <w:bookmarkStart w:id="8" w:name="_Toc347823993"/>
      <w:bookmarkStart w:id="9" w:name="_Toc347824244"/>
      <w:bookmarkStart w:id="10" w:name="_Toc174054146"/>
      <w:r w:rsidRPr="00972393">
        <w:t>Understanding the usage of secondary cells is of importance for understanding in which situations there will be a gain from setting up a secondary cell.</w:t>
      </w:r>
      <w:bookmarkEnd w:id="6"/>
      <w:bookmarkEnd w:id="7"/>
      <w:bookmarkEnd w:id="8"/>
      <w:bookmarkEnd w:id="9"/>
      <w:bookmarkEnd w:id="10"/>
    </w:p>
    <w:p w14:paraId="1740FD88" w14:textId="0C31FB86" w:rsidR="00972393" w:rsidRPr="00CE0424" w:rsidRDefault="00972393" w:rsidP="00972393">
      <w:pPr>
        <w:pStyle w:val="BodyText"/>
      </w:pPr>
      <w:r w:rsidRPr="00972393">
        <w:t>To increase the understanding of the secondary cell usage, information on the accumulated time with SCG state set to deactivated for each PSCell entry could be included in the MHI. Since the time spent with the PSCell configured is already logged by the UE since Rel.17, this new information will give an indication of how large part of the time spent in the PSCell was spent in activated or deactivated state.</w:t>
      </w:r>
    </w:p>
    <w:p w14:paraId="0908D9ED" w14:textId="5753A27C" w:rsidR="00972393" w:rsidRDefault="00972393" w:rsidP="00972393">
      <w:pPr>
        <w:pStyle w:val="Proposal"/>
      </w:pPr>
      <w:bookmarkStart w:id="11" w:name="_Toc174054152"/>
      <w:bookmarkStart w:id="12" w:name="_Ref190406817"/>
      <w:bookmarkStart w:id="13" w:name="_Toc226862296"/>
      <w:bookmarkStart w:id="14" w:name="_Toc347823621"/>
      <w:bookmarkStart w:id="15" w:name="_Toc347824073"/>
      <w:bookmarkStart w:id="16" w:name="_Toc347824246"/>
      <w:r w:rsidRPr="00972393">
        <w:t xml:space="preserve">For each PSCell entry of the MHI, log the accumulated time with SCG state set to deactivated during the stay in </w:t>
      </w:r>
      <w:bookmarkStart w:id="17" w:name="_Hlk170226738"/>
      <w:r w:rsidRPr="00972393">
        <w:t>the PSCell.</w:t>
      </w:r>
      <w:bookmarkEnd w:id="11"/>
    </w:p>
    <w:bookmarkEnd w:id="12"/>
    <w:bookmarkEnd w:id="13"/>
    <w:bookmarkEnd w:id="14"/>
    <w:bookmarkEnd w:id="15"/>
    <w:bookmarkEnd w:id="16"/>
    <w:bookmarkEnd w:id="17"/>
    <w:p w14:paraId="79A4F9CD" w14:textId="00A484E5" w:rsidR="002D229A" w:rsidRPr="002D229A" w:rsidRDefault="00230D18" w:rsidP="002D229A">
      <w:pPr>
        <w:pStyle w:val="Heading2"/>
      </w:pPr>
      <w:r>
        <w:t>2.2</w:t>
      </w:r>
      <w:r>
        <w:tab/>
      </w:r>
      <w:r w:rsidR="00972393" w:rsidRPr="00972393">
        <w:t>RA report logging in case of SDT</w:t>
      </w:r>
    </w:p>
    <w:p w14:paraId="50ACC717" w14:textId="15EDA3E8" w:rsidR="007711C3" w:rsidRPr="00972393" w:rsidRDefault="007711C3" w:rsidP="007711C3">
      <w:pPr>
        <w:rPr>
          <w:rFonts w:ascii="Arial" w:hAnsi="Arial"/>
          <w:lang w:eastAsia="zh-CN"/>
        </w:rPr>
      </w:pPr>
      <w:r w:rsidRPr="007711C3">
        <w:rPr>
          <w:rFonts w:ascii="Arial" w:hAnsi="Arial"/>
          <w:lang w:eastAsia="zh-CN"/>
        </w:rPr>
        <w:t xml:space="preserve">In </w:t>
      </w:r>
      <w:r w:rsidR="00306C55">
        <w:rPr>
          <w:rFonts w:ascii="Arial" w:hAnsi="Arial"/>
          <w:lang w:eastAsia="zh-CN"/>
        </w:rPr>
        <w:t xml:space="preserve">the last </w:t>
      </w:r>
      <w:r w:rsidRPr="007711C3">
        <w:rPr>
          <w:rFonts w:ascii="Arial" w:hAnsi="Arial"/>
          <w:lang w:eastAsia="zh-CN"/>
        </w:rPr>
        <w:t>RAN2#126 meeting, it was agreed that the UE includes the buffered uplink data volume information and measured downlink RSRP information in the RA report.</w:t>
      </w:r>
    </w:p>
    <w:p w14:paraId="0F5E940D" w14:textId="77777777" w:rsidR="007711C3" w:rsidRPr="00972393" w:rsidRDefault="007711C3" w:rsidP="007711C3">
      <w:pPr>
        <w:rPr>
          <w:rFonts w:ascii="Arial" w:hAnsi="Arial"/>
          <w:lang w:eastAsia="zh-CN"/>
        </w:rPr>
      </w:pPr>
      <w:r w:rsidRPr="00972393">
        <w:rPr>
          <w:rFonts w:ascii="Arial" w:hAnsi="Arial"/>
          <w:noProof/>
          <w:lang w:eastAsia="zh-CN"/>
        </w:rPr>
        <mc:AlternateContent>
          <mc:Choice Requires="wps">
            <w:drawing>
              <wp:inline distT="0" distB="0" distL="0" distR="0" wp14:anchorId="6D79CDB9" wp14:editId="74D6170F">
                <wp:extent cx="6157912" cy="1404620"/>
                <wp:effectExtent l="0" t="0" r="14605" b="266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0E1C5306" w14:textId="6D8C12E7" w:rsidR="007711C3" w:rsidRPr="007711C3" w:rsidRDefault="007711C3" w:rsidP="007711C3">
                            <w:pPr>
                              <w:pStyle w:val="ListParagraph"/>
                              <w:numPr>
                                <w:ilvl w:val="0"/>
                                <w:numId w:val="28"/>
                              </w:numPr>
                              <w:ind w:left="284"/>
                              <w:rPr>
                                <w:rFonts w:ascii="Arial" w:hAnsi="Arial"/>
                                <w:lang w:eastAsia="zh-CN"/>
                              </w:rPr>
                            </w:pPr>
                            <w:r w:rsidRPr="007711C3">
                              <w:rPr>
                                <w:rFonts w:ascii="Arial" w:hAnsi="Arial"/>
                                <w:lang w:eastAsia="zh-CN"/>
                              </w:rPr>
                              <w:t>For the purpose of SON enhancements for SDT, include RSRP/data volume related information</w:t>
                            </w:r>
                          </w:p>
                          <w:p w14:paraId="5465A92F" w14:textId="2907EA52" w:rsidR="007711C3" w:rsidRPr="007711C3" w:rsidRDefault="007711C3" w:rsidP="007711C3">
                            <w:pPr>
                              <w:pStyle w:val="ListParagraph"/>
                              <w:numPr>
                                <w:ilvl w:val="0"/>
                                <w:numId w:val="28"/>
                              </w:numPr>
                              <w:ind w:left="284"/>
                              <w:rPr>
                                <w:rFonts w:ascii="Arial" w:hAnsi="Arial"/>
                                <w:lang w:eastAsia="zh-CN"/>
                              </w:rPr>
                            </w:pPr>
                            <w:r w:rsidRPr="007711C3">
                              <w:rPr>
                                <w:rFonts w:ascii="Arial" w:hAnsi="Arial"/>
                                <w:lang w:eastAsia="zh-CN"/>
                              </w:rPr>
                              <w:t>Downlink RSRP value and buffered uplink data volume at the time when the UE evaluates if it should perform SDT.</w:t>
                            </w:r>
                          </w:p>
                        </w:txbxContent>
                      </wps:txbx>
                      <wps:bodyPr rot="0" vert="horz" wrap="square" lIns="91440" tIns="45720" rIns="91440" bIns="45720" anchor="t" anchorCtr="0">
                        <a:spAutoFit/>
                      </wps:bodyPr>
                    </wps:wsp>
                  </a:graphicData>
                </a:graphic>
              </wp:inline>
            </w:drawing>
          </mc:Choice>
          <mc:Fallback>
            <w:pict>
              <v:shape w14:anchorId="6D79CDB9" id="Text Box 1" o:spid="_x0000_s1027"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hTsFAIAACcEAAAOAAAAZHJzL2Uyb0RvYy54bWysk99v2yAQx98n7X9AvC+2oyRtrDpVly7T&#10;pO6H1O0PwBjHaMAxILGzv34HdtOo216m8YA4Dr7cfe64uR20IkfhvART0WKWUyIMh0aafUW/fd29&#10;uabEB2YapsCIip6Ep7eb169ueluKOXSgGuEIihhf9raiXQi2zDLPO6GZn4EVBp0tOM0Cmm6fNY71&#10;qK5VNs/zVdaDa6wDLrzH3fvRSTdJv20FD5/b1otAVEUxtpBml+Y6ztnmhpV7x2wn+RQG+4coNJMG&#10;Hz1L3bPAyMHJ36S05A48tGHGQWfQtpKLlANmU+QvsnnsmBUpF4Tj7RmT/3+y/NPx0X5xJAxvYcAC&#10;piS8fQD+3RMD246ZvbhzDvpOsAYfLiKyrLe+nK5G1L70UaTuP0KDRWaHAEloaJ2OVDBPgupYgNMZ&#10;uhgC4bi5KpZX62JOCUdfscgXq3kqS8bKp+vW+fBegCZxUVGHVU3y7PjgQwyHlU9H4mselGx2Uqlk&#10;uH29VY4cGXbALo2UwYtjypC+ouvlfDkS+KtEnsafJLQM2MpK6openw+xMnJ7Z5rUaIFJNa4xZGUm&#10;kJHdSDEM9UBkM1GOXGtoTkjWwdi5+NNw0YH7SUmPXVtR/+PAnKBEfTBYnXWxWMQ2T8ZieYUoibv0&#10;1JceZjhKVTRQMi63IX2NxM3eYRV3MvF9jmQKGbsxYZ9+Tmz3Szudev7fm18AAAD//wMAUEsDBBQA&#10;BgAIAAAAIQBxvvrX3AAAAAUBAAAPAAAAZHJzL2Rvd25yZXYueG1sTI/BTsMwEETvSPyDtUjcqNNI&#10;FBriVIiqZ0pBQtw29jaOGq9D7KYpX4/hApeVRjOaeVuuJteJkYbQelYwn2UgiLU3LTcK3l43N/cg&#10;QkQ22HkmBWcKsKouL0osjD/xC4272IhUwqFABTbGvpAyaEsOw8z3xMnb+8FhTHJopBnwlMpdJ/Ms&#10;W0iHLacFiz09WdKH3dEpCOvtZ6/32/pgzfnreT3e6vfNh1LXV9PjA4hIU/wLww9+QocqMdX+yCaI&#10;TkF6JP7e5C0XyzsQtYI8n+cgq1L+p6++AQAA//8DAFBLAQItABQABgAIAAAAIQC2gziS/gAAAOEB&#10;AAATAAAAAAAAAAAAAAAAAAAAAABbQ29udGVudF9UeXBlc10ueG1sUEsBAi0AFAAGAAgAAAAhADj9&#10;If/WAAAAlAEAAAsAAAAAAAAAAAAAAAAALwEAAF9yZWxzLy5yZWxzUEsBAi0AFAAGAAgAAAAhANQ+&#10;FOwUAgAAJwQAAA4AAAAAAAAAAAAAAAAALgIAAGRycy9lMm9Eb2MueG1sUEsBAi0AFAAGAAgAAAAh&#10;AHG++tfcAAAABQEAAA8AAAAAAAAAAAAAAAAAbgQAAGRycy9kb3ducmV2LnhtbFBLBQYAAAAABAAE&#10;APMAAAB3BQAAAAA=&#10;">
                <v:textbox style="mso-fit-shape-to-text:t">
                  <w:txbxContent>
                    <w:p w14:paraId="0E1C5306" w14:textId="6D8C12E7" w:rsidR="007711C3" w:rsidRPr="007711C3" w:rsidRDefault="007711C3" w:rsidP="007711C3">
                      <w:pPr>
                        <w:pStyle w:val="ListParagraph"/>
                        <w:numPr>
                          <w:ilvl w:val="0"/>
                          <w:numId w:val="28"/>
                        </w:numPr>
                        <w:ind w:left="284"/>
                        <w:rPr>
                          <w:rFonts w:ascii="Arial" w:hAnsi="Arial"/>
                          <w:lang w:eastAsia="zh-CN"/>
                        </w:rPr>
                      </w:pPr>
                      <w:r w:rsidRPr="007711C3">
                        <w:rPr>
                          <w:rFonts w:ascii="Arial" w:hAnsi="Arial"/>
                          <w:lang w:eastAsia="zh-CN"/>
                        </w:rPr>
                        <w:t>For the purpose of SON enhancements for SDT, include RSRP/data volume related information</w:t>
                      </w:r>
                    </w:p>
                    <w:p w14:paraId="5465A92F" w14:textId="2907EA52" w:rsidR="007711C3" w:rsidRPr="007711C3" w:rsidRDefault="007711C3" w:rsidP="007711C3">
                      <w:pPr>
                        <w:pStyle w:val="ListParagraph"/>
                        <w:numPr>
                          <w:ilvl w:val="0"/>
                          <w:numId w:val="28"/>
                        </w:numPr>
                        <w:ind w:left="284"/>
                        <w:rPr>
                          <w:rFonts w:ascii="Arial" w:hAnsi="Arial"/>
                          <w:lang w:eastAsia="zh-CN"/>
                        </w:rPr>
                      </w:pPr>
                      <w:r w:rsidRPr="007711C3">
                        <w:rPr>
                          <w:rFonts w:ascii="Arial" w:hAnsi="Arial"/>
                          <w:lang w:eastAsia="zh-CN"/>
                        </w:rPr>
                        <w:t>Downlink RSRP value and buffered uplink data volume at the time when the UE evaluates if it should perform SDT.</w:t>
                      </w:r>
                    </w:p>
                  </w:txbxContent>
                </v:textbox>
                <w10:anchorlock/>
              </v:shape>
            </w:pict>
          </mc:Fallback>
        </mc:AlternateContent>
      </w:r>
    </w:p>
    <w:p w14:paraId="6D134332" w14:textId="30D6151F" w:rsidR="006B2D50" w:rsidRDefault="007711C3" w:rsidP="006B2D50">
      <w:pPr>
        <w:pStyle w:val="BodyText"/>
      </w:pPr>
      <w:r>
        <w:t>From the agreement, it should be noted that</w:t>
      </w:r>
      <w:r w:rsidR="004C1D7A">
        <w:t xml:space="preserve"> the</w:t>
      </w:r>
      <w:r>
        <w:t xml:space="preserve"> UE includes RSRP and data volume information when it evaluates if it should perform MO-SDT irrespective of whether SDT was initiated or not.</w:t>
      </w:r>
    </w:p>
    <w:p w14:paraId="1EEA3DFD" w14:textId="1A646F0F" w:rsidR="006B2D50" w:rsidRPr="00972393" w:rsidRDefault="00B01B25" w:rsidP="006B2D50">
      <w:pPr>
        <w:rPr>
          <w:rFonts w:ascii="Arial" w:hAnsi="Arial"/>
          <w:lang w:eastAsia="zh-CN"/>
        </w:rPr>
      </w:pPr>
      <w:r>
        <w:rPr>
          <w:rFonts w:ascii="Arial" w:hAnsi="Arial"/>
          <w:lang w:eastAsia="zh-CN"/>
        </w:rPr>
        <w:t xml:space="preserve">The </w:t>
      </w:r>
      <w:r w:rsidR="00965A96">
        <w:rPr>
          <w:rFonts w:ascii="Arial" w:hAnsi="Arial"/>
          <w:lang w:eastAsia="zh-CN"/>
        </w:rPr>
        <w:t>UE performs the evaluation by comparing the buffered uplink data volume</w:t>
      </w:r>
      <w:r w:rsidR="00A873E5">
        <w:rPr>
          <w:rFonts w:ascii="Arial" w:hAnsi="Arial"/>
          <w:lang w:eastAsia="zh-CN"/>
        </w:rPr>
        <w:t xml:space="preserve"> pending transmission on radio bearers with SDT enabled</w:t>
      </w:r>
      <w:r w:rsidR="00965A96">
        <w:rPr>
          <w:rFonts w:ascii="Arial" w:hAnsi="Arial"/>
          <w:lang w:eastAsia="zh-CN"/>
        </w:rPr>
        <w:t xml:space="preserve"> and downlink RSRP with the n</w:t>
      </w:r>
      <w:r w:rsidR="006B2D50">
        <w:rPr>
          <w:rFonts w:ascii="Arial" w:hAnsi="Arial"/>
          <w:lang w:eastAsia="zh-CN"/>
        </w:rPr>
        <w:t>e</w:t>
      </w:r>
      <w:r w:rsidR="006B2D50" w:rsidRPr="006B2D50">
        <w:rPr>
          <w:rFonts w:ascii="Arial" w:hAnsi="Arial"/>
          <w:lang w:eastAsia="zh-CN"/>
        </w:rPr>
        <w:t>twork configure</w:t>
      </w:r>
      <w:r w:rsidR="00965A96">
        <w:rPr>
          <w:rFonts w:ascii="Arial" w:hAnsi="Arial"/>
          <w:lang w:eastAsia="zh-CN"/>
        </w:rPr>
        <w:t>d</w:t>
      </w:r>
      <w:r w:rsidR="006B2D50" w:rsidRPr="006B2D50">
        <w:rPr>
          <w:rFonts w:ascii="Arial" w:hAnsi="Arial"/>
          <w:lang w:eastAsia="zh-CN"/>
        </w:rPr>
        <w:t xml:space="preserve"> threshold for data volume and RSRP for MO-SDT</w:t>
      </w:r>
      <w:r w:rsidR="00965A96">
        <w:rPr>
          <w:rFonts w:ascii="Arial" w:hAnsi="Arial"/>
          <w:lang w:eastAsia="zh-CN"/>
        </w:rPr>
        <w:t>,</w:t>
      </w:r>
      <w:r w:rsidR="006B2D50" w:rsidRPr="006B2D50">
        <w:rPr>
          <w:rFonts w:ascii="Arial" w:hAnsi="Arial"/>
          <w:lang w:eastAsia="zh-CN"/>
        </w:rPr>
        <w:t xml:space="preserve"> as mentioned in TS-38.321</w:t>
      </w:r>
      <w:r w:rsidR="00965A96">
        <w:rPr>
          <w:rFonts w:ascii="Arial" w:hAnsi="Arial"/>
          <w:lang w:eastAsia="zh-CN"/>
        </w:rPr>
        <w:t>-</w:t>
      </w:r>
    </w:p>
    <w:p w14:paraId="1B58C929" w14:textId="77777777" w:rsidR="006B2D50" w:rsidRPr="00972393" w:rsidRDefault="006B2D50" w:rsidP="006B2D50">
      <w:pPr>
        <w:rPr>
          <w:rFonts w:ascii="Arial" w:hAnsi="Arial"/>
          <w:lang w:eastAsia="zh-CN"/>
        </w:rPr>
      </w:pPr>
      <w:r w:rsidRPr="00972393">
        <w:rPr>
          <w:rFonts w:ascii="Arial" w:hAnsi="Arial"/>
          <w:noProof/>
          <w:lang w:eastAsia="zh-CN"/>
        </w:rPr>
        <mc:AlternateContent>
          <mc:Choice Requires="wps">
            <w:drawing>
              <wp:inline distT="0" distB="0" distL="0" distR="0" wp14:anchorId="3C09B58F" wp14:editId="5B870B09">
                <wp:extent cx="6157912" cy="1404620"/>
                <wp:effectExtent l="0" t="0" r="1460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72A40206" w14:textId="77777777" w:rsidR="006B2D50" w:rsidRPr="0044258C" w:rsidRDefault="006B2D50" w:rsidP="006B2D50">
                            <w:pPr>
                              <w:ind w:left="74"/>
                              <w:rPr>
                                <w:rFonts w:eastAsia="DengXian"/>
                                <w:lang w:eastAsia="zh-CN"/>
                              </w:rPr>
                            </w:pPr>
                            <w:r w:rsidRPr="0044258C">
                              <w:rPr>
                                <w:rFonts w:eastAsia="DengXian"/>
                                <w:lang w:eastAsia="zh-CN"/>
                              </w:rPr>
                              <w:t>RRC configures the following parameters for SDT procedure:</w:t>
                            </w:r>
                          </w:p>
                          <w:p w14:paraId="18EEA674" w14:textId="77777777" w:rsidR="006B2D50" w:rsidRPr="0044258C" w:rsidRDefault="006B2D50" w:rsidP="006B2D50">
                            <w:pPr>
                              <w:pStyle w:val="B1"/>
                              <w:ind w:left="642"/>
                              <w:rPr>
                                <w:rFonts w:eastAsia="DengXian"/>
                                <w:i/>
                              </w:rPr>
                            </w:pPr>
                            <w:r w:rsidRPr="0044258C">
                              <w:rPr>
                                <w:rFonts w:eastAsia="DengXian"/>
                              </w:rPr>
                              <w:t>-</w:t>
                            </w:r>
                            <w:r w:rsidRPr="0044258C">
                              <w:rPr>
                                <w:rFonts w:eastAsia="DengXian"/>
                              </w:rPr>
                              <w:tab/>
                            </w:r>
                            <w:r w:rsidRPr="0044258C">
                              <w:rPr>
                                <w:rFonts w:eastAsia="DengXian"/>
                                <w:i/>
                              </w:rPr>
                              <w:t>sdt-DataVolumeThreshold</w:t>
                            </w:r>
                            <w:r w:rsidRPr="0044258C">
                              <w:rPr>
                                <w:rFonts w:eastAsia="DengXian"/>
                              </w:rPr>
                              <w:t>: data volume threshold for the UE to determine whether to perform SDT procedure initiated for MO-SDT;</w:t>
                            </w:r>
                          </w:p>
                          <w:p w14:paraId="72DEADF9" w14:textId="167476CD" w:rsidR="006B2D50" w:rsidRPr="006B2D50" w:rsidRDefault="006B2D50" w:rsidP="006B2D50">
                            <w:pPr>
                              <w:rPr>
                                <w:rFonts w:ascii="Arial" w:hAnsi="Arial"/>
                                <w:lang w:eastAsia="zh-CN"/>
                              </w:rPr>
                            </w:pPr>
                            <w:r w:rsidRPr="0044258C">
                              <w:rPr>
                                <w:rFonts w:eastAsia="DengXian"/>
                                <w:lang w:eastAsia="zh-CN"/>
                              </w:rPr>
                              <w:t>-</w:t>
                            </w:r>
                            <w:r w:rsidRPr="0044258C">
                              <w:rPr>
                                <w:rFonts w:eastAsia="DengXian"/>
                                <w:lang w:eastAsia="zh-CN"/>
                              </w:rPr>
                              <w:tab/>
                            </w:r>
                            <w:r w:rsidRPr="0044258C">
                              <w:rPr>
                                <w:rFonts w:eastAsia="DengXian"/>
                                <w:i/>
                                <w:lang w:eastAsia="zh-CN"/>
                              </w:rPr>
                              <w:t>sdt-RSRP-Threshold</w:t>
                            </w:r>
                            <w:r w:rsidRPr="0044258C">
                              <w:rPr>
                                <w:rFonts w:eastAsia="DengXian"/>
                                <w:lang w:eastAsia="zh-CN"/>
                              </w:rPr>
                              <w:t>: RSRP threshold for UE to determine whether to perform SDT procedure initiated for MO-SDT;</w:t>
                            </w:r>
                          </w:p>
                        </w:txbxContent>
                      </wps:txbx>
                      <wps:bodyPr rot="0" vert="horz" wrap="square" lIns="91440" tIns="45720" rIns="91440" bIns="45720" anchor="t" anchorCtr="0">
                        <a:spAutoFit/>
                      </wps:bodyPr>
                    </wps:wsp>
                  </a:graphicData>
                </a:graphic>
              </wp:inline>
            </w:drawing>
          </mc:Choice>
          <mc:Fallback>
            <w:pict>
              <v:shape w14:anchorId="3C09B58F" id="Text Box 2" o:spid="_x0000_s1028"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YtFgIAACcEAAAOAAAAZHJzL2Uyb0RvYy54bWysk9tuGyEQhu8r9R0Q9/UeZDvxKjhKnbqq&#10;lB6ktA/AsqwXlWUoYO+6T9+BdRwrbW+qcoEYBn5mvhlubsdek4N0XoFhtJjllEgjoFFmx+i3r9s3&#10;15T4wE3DNRjJ6FF6ert+/epmsJUsoQPdSEdQxPhqsIx2Idgqy7zoZM/9DKw06GzB9Tyg6XZZ4/iA&#10;6r3OyjxfZgO4xjoQ0nvcvZ+cdJ3021aK8LltvQxEM4qxhTS7NNdxztY3vNo5bjslTmHwf4ii58rg&#10;o2epex442Tv1m1SvhAMPbZgJ6DNoWyVkygGzKfIX2Tx23MqUC8Lx9ozJ/z9Z8enwaL84Esa3MGIB&#10;UxLePoD47omBTcfNTt45B0MneYMPFxFZNlhfna5G1L7yUaQePkKDReb7AElobF0fqWCeBNWxAMcz&#10;dDkGInBzWSyuVkVJiUBfMc/nyzKVJePV03XrfHgvoSdxwajDqiZ5fnjwIYbDq6cj8TUPWjVbpXUy&#10;3K7eaEcOHDtgm0bK4MUxbcjA6GpRLiYCf5XI0/iTRK8CtrJWPaPX50O8itzemSY1WuBKT2sMWZsT&#10;yMhuohjGeiSqYbSMD0SuNTRHJOtg6lz8abjowP2kZMCuZdT/2HMnKdEfDFZnVcznsc2TMV9cIUri&#10;Lj31pYcbgVKMBkqm5Sakr5G42Tus4lYlvs+RnELGbkzYTz8ntvulnU49/+/1LwAAAP//AwBQSwME&#10;FAAGAAgAAAAhAHG++tfcAAAABQEAAA8AAABkcnMvZG93bnJldi54bWxMj8FOwzAQRO9I/IO1SNyo&#10;00gUGuJUiKpnSkFC3Db2No4ar0Pspilfj+ECl5VGM5p5W64m14mRhtB6VjCfZSCItTctNwreXjc3&#10;9yBCRDbYeSYFZwqwqi4vSiyMP/ELjbvYiFTCoUAFNsa+kDJoSw7DzPfEydv7wWFMcmikGfCUyl0n&#10;8yxbSIctpwWLPT1Z0ofd0SkI6+1nr/fb+mDN+et5Pd7q982HUtdX0+MDiEhT/AvDD35Chyox1f7I&#10;JohOQXok/t7kLRfLOxC1gjyf5yCrUv6nr74BAAD//wMAUEsBAi0AFAAGAAgAAAAhALaDOJL+AAAA&#10;4QEAABMAAAAAAAAAAAAAAAAAAAAAAFtDb250ZW50X1R5cGVzXS54bWxQSwECLQAUAAYACAAAACEA&#10;OP0h/9YAAACUAQAACwAAAAAAAAAAAAAAAAAvAQAAX3JlbHMvLnJlbHNQSwECLQAUAAYACAAAACEA&#10;4+DWLRYCAAAnBAAADgAAAAAAAAAAAAAAAAAuAgAAZHJzL2Uyb0RvYy54bWxQSwECLQAUAAYACAAA&#10;ACEAcb7619wAAAAFAQAADwAAAAAAAAAAAAAAAABwBAAAZHJzL2Rvd25yZXYueG1sUEsFBgAAAAAE&#10;AAQA8wAAAHkFAAAAAA==&#10;">
                <v:textbox style="mso-fit-shape-to-text:t">
                  <w:txbxContent>
                    <w:p w14:paraId="72A40206" w14:textId="77777777" w:rsidR="006B2D50" w:rsidRPr="0044258C" w:rsidRDefault="006B2D50" w:rsidP="006B2D50">
                      <w:pPr>
                        <w:ind w:left="74"/>
                        <w:rPr>
                          <w:rFonts w:eastAsia="DengXian"/>
                          <w:lang w:eastAsia="zh-CN"/>
                        </w:rPr>
                      </w:pPr>
                      <w:r w:rsidRPr="0044258C">
                        <w:rPr>
                          <w:rFonts w:eastAsia="DengXian"/>
                          <w:lang w:eastAsia="zh-CN"/>
                        </w:rPr>
                        <w:t>RRC configures the following parameters for SDT procedure:</w:t>
                      </w:r>
                    </w:p>
                    <w:p w14:paraId="18EEA674" w14:textId="77777777" w:rsidR="006B2D50" w:rsidRPr="0044258C" w:rsidRDefault="006B2D50" w:rsidP="006B2D50">
                      <w:pPr>
                        <w:pStyle w:val="B1"/>
                        <w:ind w:left="642"/>
                        <w:rPr>
                          <w:rFonts w:eastAsia="DengXian"/>
                          <w:i/>
                        </w:rPr>
                      </w:pPr>
                      <w:r w:rsidRPr="0044258C">
                        <w:rPr>
                          <w:rFonts w:eastAsia="DengXian"/>
                        </w:rPr>
                        <w:t>-</w:t>
                      </w:r>
                      <w:r w:rsidRPr="0044258C">
                        <w:rPr>
                          <w:rFonts w:eastAsia="DengXian"/>
                        </w:rPr>
                        <w:tab/>
                      </w:r>
                      <w:r w:rsidRPr="0044258C">
                        <w:rPr>
                          <w:rFonts w:eastAsia="DengXian"/>
                          <w:i/>
                        </w:rPr>
                        <w:t>sdt-DataVolumeThreshold</w:t>
                      </w:r>
                      <w:r w:rsidRPr="0044258C">
                        <w:rPr>
                          <w:rFonts w:eastAsia="DengXian"/>
                        </w:rPr>
                        <w:t>: data volume threshold for the UE to determine whether to perform SDT procedure initiated for MO-SDT;</w:t>
                      </w:r>
                    </w:p>
                    <w:p w14:paraId="72DEADF9" w14:textId="167476CD" w:rsidR="006B2D50" w:rsidRPr="006B2D50" w:rsidRDefault="006B2D50" w:rsidP="006B2D50">
                      <w:pPr>
                        <w:rPr>
                          <w:rFonts w:ascii="Arial" w:hAnsi="Arial"/>
                          <w:lang w:eastAsia="zh-CN"/>
                        </w:rPr>
                      </w:pPr>
                      <w:r w:rsidRPr="0044258C">
                        <w:rPr>
                          <w:rFonts w:eastAsia="DengXian"/>
                          <w:lang w:eastAsia="zh-CN"/>
                        </w:rPr>
                        <w:t>-</w:t>
                      </w:r>
                      <w:r w:rsidRPr="0044258C">
                        <w:rPr>
                          <w:rFonts w:eastAsia="DengXian"/>
                          <w:lang w:eastAsia="zh-CN"/>
                        </w:rPr>
                        <w:tab/>
                      </w:r>
                      <w:r w:rsidRPr="0044258C">
                        <w:rPr>
                          <w:rFonts w:eastAsia="DengXian"/>
                          <w:i/>
                          <w:lang w:eastAsia="zh-CN"/>
                        </w:rPr>
                        <w:t>sdt-RSRP-Threshold</w:t>
                      </w:r>
                      <w:r w:rsidRPr="0044258C">
                        <w:rPr>
                          <w:rFonts w:eastAsia="DengXian"/>
                          <w:lang w:eastAsia="zh-CN"/>
                        </w:rPr>
                        <w:t>: RSRP threshold for UE to determine whether to perform SDT procedure initiated for MO-SDT;</w:t>
                      </w:r>
                    </w:p>
                  </w:txbxContent>
                </v:textbox>
                <w10:anchorlock/>
              </v:shape>
            </w:pict>
          </mc:Fallback>
        </mc:AlternateContent>
      </w:r>
    </w:p>
    <w:p w14:paraId="34A07E3B" w14:textId="0541531E" w:rsidR="009B6B8B" w:rsidRDefault="009B6B8B" w:rsidP="006B2D50">
      <w:pPr>
        <w:pStyle w:val="BodyText"/>
      </w:pPr>
      <w:r>
        <w:t>Hence</w:t>
      </w:r>
      <w:r w:rsidR="00F670D9">
        <w:t xml:space="preserve"> from the above agreements</w:t>
      </w:r>
      <w:r w:rsidR="00447D88">
        <w:t xml:space="preserve">, </w:t>
      </w:r>
      <w:r w:rsidR="00E34180">
        <w:t xml:space="preserve">even if SDT was not eventually </w:t>
      </w:r>
      <w:r w:rsidR="001845D4">
        <w:t>initiated by the UE,</w:t>
      </w:r>
      <w:r w:rsidR="005A69BB">
        <w:t xml:space="preserve"> i.e. the UE </w:t>
      </w:r>
      <w:r w:rsidR="00D36943">
        <w:t>instead falls back to common RACH resources,</w:t>
      </w:r>
      <w:r w:rsidR="001845D4">
        <w:t xml:space="preserve"> </w:t>
      </w:r>
      <w:r w:rsidR="00447D88">
        <w:t>it is clear that if the UE includes</w:t>
      </w:r>
      <w:r w:rsidR="00447D88" w:rsidRPr="00447D88">
        <w:t xml:space="preserve"> </w:t>
      </w:r>
      <w:r w:rsidR="00447D88">
        <w:t>d</w:t>
      </w:r>
      <w:r w:rsidR="00447D88" w:rsidRPr="007711C3">
        <w:t>ownlink RSRP value and buffered uplink data volume</w:t>
      </w:r>
      <w:r w:rsidR="00D61DE1">
        <w:t xml:space="preserve"> as RA information</w:t>
      </w:r>
      <w:r w:rsidR="002B56E0">
        <w:t xml:space="preserve">, then </w:t>
      </w:r>
      <w:r w:rsidR="00894B27">
        <w:t xml:space="preserve">the gNB can deduce that </w:t>
      </w:r>
      <w:r w:rsidR="00E34180">
        <w:t xml:space="preserve">the UE </w:t>
      </w:r>
      <w:r w:rsidR="00131897">
        <w:t>at least attempted SDT.</w:t>
      </w:r>
    </w:p>
    <w:p w14:paraId="043944A4" w14:textId="4DE648DC" w:rsidR="00D85251" w:rsidRDefault="00D85251" w:rsidP="006B2D50">
      <w:pPr>
        <w:pStyle w:val="Observation"/>
      </w:pPr>
      <w:bookmarkStart w:id="18" w:name="_Toc174054147"/>
      <w:r>
        <w:t xml:space="preserve">From the RAN2#126 agreements, </w:t>
      </w:r>
      <w:r w:rsidR="002C660C">
        <w:t xml:space="preserve">if the </w:t>
      </w:r>
      <w:r w:rsidRPr="006B2D50">
        <w:t xml:space="preserve">UE includes buffered uplink data volume and downlink RSRP information </w:t>
      </w:r>
      <w:r w:rsidR="002C660C">
        <w:t xml:space="preserve">in </w:t>
      </w:r>
      <w:r w:rsidR="005201FE">
        <w:t xml:space="preserve">the </w:t>
      </w:r>
      <w:r w:rsidR="002C660C">
        <w:t>RA information, then the network can</w:t>
      </w:r>
      <w:r w:rsidR="001F6DBC">
        <w:t xml:space="preserve"> implicitly</w:t>
      </w:r>
      <w:r w:rsidR="002C660C">
        <w:t xml:space="preserve"> deduce that the UE tried to perform </w:t>
      </w:r>
      <w:r w:rsidRPr="006B2D50">
        <w:t>SDT</w:t>
      </w:r>
      <w:r w:rsidR="00BF649C">
        <w:t>, irrespective of whether the UE eventually used RA-SDT or common RACH resources</w:t>
      </w:r>
      <w:r w:rsidRPr="006B2D50">
        <w:t>.</w:t>
      </w:r>
      <w:bookmarkEnd w:id="18"/>
    </w:p>
    <w:p w14:paraId="54BB3827" w14:textId="51B03E8F" w:rsidR="006B2D50" w:rsidRDefault="006B2D50" w:rsidP="006B2D50">
      <w:pPr>
        <w:pStyle w:val="BodyText"/>
      </w:pPr>
      <w:r>
        <w:t xml:space="preserve">However, MO-SDT can be of two types, RA-SDT and CG-SDT. Thus, for both CG-SDT and RA-SDT evaluation, </w:t>
      </w:r>
      <w:r w:rsidR="00EE298E">
        <w:t xml:space="preserve">the </w:t>
      </w:r>
      <w:r>
        <w:t>UE utilizes</w:t>
      </w:r>
      <w:r w:rsidR="00F70B75">
        <w:t xml:space="preserve"> the</w:t>
      </w:r>
      <w:r>
        <w:t xml:space="preserve"> same data volume threshold and RSRP threshold</w:t>
      </w:r>
      <w:r w:rsidR="00965A96">
        <w:t xml:space="preserve"> as reference</w:t>
      </w:r>
      <w:r>
        <w:t xml:space="preserve">. Hence, in case </w:t>
      </w:r>
      <w:r w:rsidR="001A36B9">
        <w:t xml:space="preserve">the </w:t>
      </w:r>
      <w:r>
        <w:t>UE fails to initiate SDT procedure and access</w:t>
      </w:r>
      <w:r w:rsidR="008F22B3">
        <w:t>es</w:t>
      </w:r>
      <w:r>
        <w:t xml:space="preserve"> the network using common RACH resources, it remains unclear if </w:t>
      </w:r>
      <w:r w:rsidR="00C06184">
        <w:t>the problem was on C</w:t>
      </w:r>
      <w:r>
        <w:t>G-SDT or RA-SDT</w:t>
      </w:r>
      <w:r w:rsidR="005A72C5">
        <w:t xml:space="preserve"> or both</w:t>
      </w:r>
      <w:r>
        <w:t>.</w:t>
      </w:r>
      <w:r w:rsidR="000F173A">
        <w:t xml:space="preserve"> In particular, the following scenarios can be envisaged</w:t>
      </w:r>
      <w:r w:rsidR="00FA2C62">
        <w:t xml:space="preserve"> according to the MAC spec (see TS 38.321</w:t>
      </w:r>
      <w:r w:rsidR="00176F57">
        <w:t xml:space="preserve">, Section </w:t>
      </w:r>
      <w:r w:rsidR="00AF5A1C">
        <w:t>5.27.1</w:t>
      </w:r>
      <w:r w:rsidR="00FA2C62">
        <w:t>)</w:t>
      </w:r>
      <w:r w:rsidR="000F173A">
        <w:t>:</w:t>
      </w:r>
    </w:p>
    <w:p w14:paraId="42151317" w14:textId="5B4B9374" w:rsidR="000F173A" w:rsidRDefault="000F173A" w:rsidP="000F173A">
      <w:pPr>
        <w:pStyle w:val="BodyText"/>
        <w:numPr>
          <w:ilvl w:val="0"/>
          <w:numId w:val="29"/>
        </w:numPr>
      </w:pPr>
      <w:r>
        <w:t xml:space="preserve">The </w:t>
      </w:r>
      <w:r w:rsidR="00FE177C">
        <w:t xml:space="preserve">UE evaluated only RA-SDT </w:t>
      </w:r>
      <w:r w:rsidR="009D4BCC">
        <w:t>(e.g. not configured with CG-SDT)</w:t>
      </w:r>
      <w:r w:rsidR="00AF5A1C">
        <w:t xml:space="preserve">, but </w:t>
      </w:r>
      <w:r w:rsidR="004463F1">
        <w:t xml:space="preserve">either the RSRP-based condition or the data volume-based condition was not </w:t>
      </w:r>
      <w:r w:rsidR="001F6DBC">
        <w:t>fulfilled. The UE perform</w:t>
      </w:r>
      <w:r w:rsidR="009F09FD">
        <w:t>s</w:t>
      </w:r>
      <w:r w:rsidR="001F6DBC">
        <w:t xml:space="preserve"> RA on common RACH resources.</w:t>
      </w:r>
    </w:p>
    <w:p w14:paraId="09D2CE0B" w14:textId="189D55FF" w:rsidR="0017014E" w:rsidRDefault="00500E7F" w:rsidP="0017014E">
      <w:pPr>
        <w:pStyle w:val="BodyText"/>
        <w:numPr>
          <w:ilvl w:val="0"/>
          <w:numId w:val="29"/>
        </w:numPr>
      </w:pPr>
      <w:r>
        <w:t xml:space="preserve">The UE evaluated only </w:t>
      </w:r>
      <w:r w:rsidR="00A51B9F">
        <w:t>CG</w:t>
      </w:r>
      <w:r>
        <w:t>-SDT</w:t>
      </w:r>
      <w:r w:rsidR="00544740">
        <w:t xml:space="preserve"> (</w:t>
      </w:r>
      <w:r w:rsidR="00E4744B">
        <w:t xml:space="preserve">i.e. </w:t>
      </w:r>
      <w:r w:rsidR="00544740">
        <w:t xml:space="preserve">RA-SDT not configured), </w:t>
      </w:r>
      <w:r w:rsidR="00137C7F">
        <w:t>but either the RSRP-based condition or the data volume-based condition or the CG-based condition</w:t>
      </w:r>
      <w:r w:rsidR="00C579DF">
        <w:t xml:space="preserve"> (e.g. </w:t>
      </w:r>
      <w:r w:rsidR="008E4361">
        <w:t xml:space="preserve">TA for CG-SDT not valid, </w:t>
      </w:r>
      <w:r w:rsidR="00344B44">
        <w:t>next CG occasion too far away in time, etc</w:t>
      </w:r>
      <w:r w:rsidR="00C579DF">
        <w:t>)</w:t>
      </w:r>
      <w:r w:rsidR="00344B44">
        <w:t xml:space="preserve"> </w:t>
      </w:r>
      <w:r w:rsidR="00137C7F">
        <w:t>was not fulfilled</w:t>
      </w:r>
      <w:r w:rsidR="00344B44">
        <w:t>. The UE perform</w:t>
      </w:r>
      <w:r w:rsidR="00D75646">
        <w:t>s</w:t>
      </w:r>
      <w:r w:rsidR="00344B44">
        <w:t xml:space="preserve"> RA on common RACH resources.</w:t>
      </w:r>
    </w:p>
    <w:p w14:paraId="0208210C" w14:textId="3F0B8E32" w:rsidR="00ED1D0B" w:rsidRDefault="00ED1D0B" w:rsidP="0017014E">
      <w:pPr>
        <w:pStyle w:val="BodyText"/>
        <w:numPr>
          <w:ilvl w:val="0"/>
          <w:numId w:val="29"/>
        </w:numPr>
      </w:pPr>
      <w:r>
        <w:lastRenderedPageBreak/>
        <w:t xml:space="preserve">Both the RSRP-based condition and the data volume-based condition are fulfilled. The UE first evaluated CG-SDT (according to </w:t>
      </w:r>
      <w:r w:rsidR="00C66729">
        <w:t xml:space="preserve">the </w:t>
      </w:r>
      <w:r>
        <w:t xml:space="preserve">MAC spec procedure, the UE shall first evaluate CG-SDT), but a CG-based condition (e.g. </w:t>
      </w:r>
      <w:r w:rsidRPr="0044258C">
        <w:t xml:space="preserve">TA for CG-SDT </w:t>
      </w:r>
      <w:r>
        <w:t>not</w:t>
      </w:r>
      <w:r w:rsidRPr="0044258C">
        <w:t xml:space="preserve"> valid</w:t>
      </w:r>
      <w:r>
        <w:t>, next CG occasion too far away in time, etc) was not fulfilled. The UE performs RA-SDT.</w:t>
      </w:r>
    </w:p>
    <w:p w14:paraId="6B6A6261" w14:textId="77777777" w:rsidR="00A16DF4" w:rsidRDefault="00A16DF4" w:rsidP="006B2D50">
      <w:pPr>
        <w:pStyle w:val="Observation"/>
      </w:pPr>
      <w:bookmarkStart w:id="19" w:name="_Toc174054148"/>
      <w:r>
        <w:t>The following</w:t>
      </w:r>
      <w:r w:rsidR="006B2D50" w:rsidRPr="006B2D50">
        <w:t xml:space="preserve"> remains unclear to network</w:t>
      </w:r>
      <w:r>
        <w:t>:</w:t>
      </w:r>
      <w:bookmarkEnd w:id="19"/>
    </w:p>
    <w:p w14:paraId="0C80882E" w14:textId="40C18761" w:rsidR="0099587E" w:rsidRDefault="00B96F9F" w:rsidP="00A16DF4">
      <w:pPr>
        <w:pStyle w:val="Observation"/>
        <w:numPr>
          <w:ilvl w:val="1"/>
          <w:numId w:val="13"/>
        </w:numPr>
      </w:pPr>
      <w:bookmarkStart w:id="20" w:name="_Toc174054149"/>
      <w:r>
        <w:t>The UE evaluate</w:t>
      </w:r>
      <w:r w:rsidR="00201AFB">
        <w:t>s</w:t>
      </w:r>
      <w:r>
        <w:t xml:space="preserve"> RA-SDT </w:t>
      </w:r>
      <w:r w:rsidR="004E6B59">
        <w:t>and/</w:t>
      </w:r>
      <w:r>
        <w:t>or CG-SDT</w:t>
      </w:r>
      <w:r w:rsidR="0099587E">
        <w:t>, but if f</w:t>
      </w:r>
      <w:r w:rsidR="00201AFB">
        <w:t>alls</w:t>
      </w:r>
      <w:r w:rsidR="0099587E">
        <w:t xml:space="preserve"> back to common RACH resources</w:t>
      </w:r>
      <w:r w:rsidR="008F5FAB">
        <w:t xml:space="preserve"> due to the RSRP-based condition or the data volume-based condition</w:t>
      </w:r>
      <w:r w:rsidR="005E444B">
        <w:t xml:space="preserve"> or CG-based conditions not being fulfilled.</w:t>
      </w:r>
      <w:bookmarkEnd w:id="20"/>
    </w:p>
    <w:p w14:paraId="17E8788F" w14:textId="626E2980" w:rsidR="005E444B" w:rsidRDefault="005E444B" w:rsidP="005E444B">
      <w:pPr>
        <w:pStyle w:val="Observation"/>
        <w:numPr>
          <w:ilvl w:val="1"/>
          <w:numId w:val="13"/>
        </w:numPr>
      </w:pPr>
      <w:bookmarkStart w:id="21" w:name="_Toc174054150"/>
      <w:r>
        <w:t>The RSRP-based condition and the data volume-based conditions are fulfilled, t</w:t>
      </w:r>
      <w:r w:rsidR="008F5FAB">
        <w:t>he UE evaluates CG-SDT</w:t>
      </w:r>
      <w:r>
        <w:t>, but</w:t>
      </w:r>
      <w:r w:rsidR="008F5FAB">
        <w:t xml:space="preserve"> it falls back</w:t>
      </w:r>
      <w:r>
        <w:t xml:space="preserve"> to RA-SDT, due to CG-based conditions not being fulfilled.</w:t>
      </w:r>
      <w:bookmarkEnd w:id="21"/>
    </w:p>
    <w:p w14:paraId="4035CDE8" w14:textId="5886E6F3" w:rsidR="006B2D50" w:rsidRPr="00972393" w:rsidRDefault="00D11793" w:rsidP="006B2D50">
      <w:pPr>
        <w:rPr>
          <w:rFonts w:ascii="Arial" w:hAnsi="Arial"/>
          <w:lang w:eastAsia="zh-CN"/>
        </w:rPr>
      </w:pPr>
      <w:r w:rsidRPr="001B365E">
        <w:rPr>
          <w:rFonts w:ascii="Arial" w:hAnsi="Arial"/>
          <w:lang w:eastAsia="zh-CN"/>
        </w:rPr>
        <w:t xml:space="preserve">Knowing </w:t>
      </w:r>
      <w:r w:rsidR="0012697E" w:rsidRPr="001B365E">
        <w:rPr>
          <w:rFonts w:ascii="Arial" w:hAnsi="Arial"/>
          <w:lang w:eastAsia="zh-CN"/>
        </w:rPr>
        <w:t>whether the UE initially tried to perform RA-SDT or CG-SDT</w:t>
      </w:r>
      <w:r w:rsidR="003A4540" w:rsidRPr="001B365E">
        <w:rPr>
          <w:rFonts w:ascii="Arial" w:hAnsi="Arial"/>
          <w:lang w:eastAsia="zh-CN"/>
        </w:rPr>
        <w:t xml:space="preserve"> is useful information that the network can use to</w:t>
      </w:r>
      <w:r w:rsidR="00D0420E" w:rsidRPr="001B365E">
        <w:rPr>
          <w:rFonts w:ascii="Arial" w:hAnsi="Arial"/>
          <w:lang w:eastAsia="zh-CN"/>
        </w:rPr>
        <w:t xml:space="preserve"> optimize RA resources.</w:t>
      </w:r>
      <w:r w:rsidR="00EE14BE" w:rsidRPr="001B365E">
        <w:rPr>
          <w:rFonts w:ascii="Arial" w:hAnsi="Arial"/>
          <w:lang w:eastAsia="zh-CN"/>
        </w:rPr>
        <w:t xml:space="preserve"> </w:t>
      </w:r>
      <w:r w:rsidR="00936DEF">
        <w:rPr>
          <w:rFonts w:ascii="Arial" w:hAnsi="Arial"/>
          <w:lang w:eastAsia="zh-CN"/>
        </w:rPr>
        <w:t>For example, if</w:t>
      </w:r>
      <w:r w:rsidR="006B2D50" w:rsidRPr="006B2D50">
        <w:rPr>
          <w:rFonts w:ascii="Arial" w:hAnsi="Arial"/>
          <w:lang w:eastAsia="zh-CN"/>
        </w:rPr>
        <w:t xml:space="preserve"> </w:t>
      </w:r>
      <w:r w:rsidR="00936DEF">
        <w:rPr>
          <w:rFonts w:ascii="Arial" w:hAnsi="Arial"/>
          <w:lang w:eastAsia="zh-CN"/>
        </w:rPr>
        <w:t>m</w:t>
      </w:r>
      <w:r w:rsidR="00D72FE5">
        <w:rPr>
          <w:rFonts w:ascii="Arial" w:hAnsi="Arial"/>
          <w:lang w:eastAsia="zh-CN"/>
        </w:rPr>
        <w:t xml:space="preserve">any UEs </w:t>
      </w:r>
      <w:r w:rsidR="006B2D50" w:rsidRPr="006B2D50">
        <w:rPr>
          <w:rFonts w:ascii="Arial" w:hAnsi="Arial"/>
          <w:lang w:eastAsia="zh-CN"/>
        </w:rPr>
        <w:t>fail to initiate CG-SDT and fall back to RA-SDT</w:t>
      </w:r>
      <w:r w:rsidR="006E030B">
        <w:rPr>
          <w:rFonts w:ascii="Arial" w:hAnsi="Arial"/>
          <w:lang w:eastAsia="zh-CN"/>
        </w:rPr>
        <w:t xml:space="preserve">, </w:t>
      </w:r>
      <w:r w:rsidR="006B2D50" w:rsidRPr="006B2D50">
        <w:rPr>
          <w:rFonts w:ascii="Arial" w:hAnsi="Arial"/>
          <w:lang w:eastAsia="zh-CN"/>
        </w:rPr>
        <w:t>the RA-SDT resources dimensioned for the cell may become overloaded</w:t>
      </w:r>
      <w:r w:rsidR="006E030B">
        <w:rPr>
          <w:rFonts w:ascii="Arial" w:hAnsi="Arial"/>
          <w:lang w:eastAsia="zh-CN"/>
        </w:rPr>
        <w:t xml:space="preserve">. </w:t>
      </w:r>
      <w:r w:rsidR="006A47E4">
        <w:rPr>
          <w:rFonts w:ascii="Arial" w:hAnsi="Arial"/>
          <w:lang w:eastAsia="zh-CN"/>
        </w:rPr>
        <w:t xml:space="preserve">Additionally, in this case both the RSRP-based condition and the </w:t>
      </w:r>
      <w:r w:rsidR="00D36D50">
        <w:rPr>
          <w:rFonts w:ascii="Arial" w:hAnsi="Arial"/>
          <w:lang w:eastAsia="zh-CN"/>
        </w:rPr>
        <w:t>data volume-based condition is fulfilled (otherwise the UE would not select RA-SDT resources)</w:t>
      </w:r>
      <w:r w:rsidR="00464337">
        <w:rPr>
          <w:rFonts w:ascii="Arial" w:hAnsi="Arial"/>
          <w:lang w:eastAsia="zh-CN"/>
        </w:rPr>
        <w:t>. Hence, the network will not be able to know that the selection of the RA-SDT was because issues with the CG-SDT</w:t>
      </w:r>
      <w:r w:rsidR="00BA0A9D">
        <w:rPr>
          <w:rFonts w:ascii="Arial" w:hAnsi="Arial"/>
          <w:lang w:eastAsia="zh-CN"/>
        </w:rPr>
        <w:t xml:space="preserve">, and not because only RA-SDT was </w:t>
      </w:r>
      <w:r w:rsidR="00451A5E">
        <w:rPr>
          <w:rFonts w:ascii="Arial" w:hAnsi="Arial"/>
          <w:lang w:eastAsia="zh-CN"/>
        </w:rPr>
        <w:t>configured/evaluated.</w:t>
      </w:r>
      <w:r w:rsidR="002C37EE">
        <w:rPr>
          <w:rFonts w:ascii="Arial" w:hAnsi="Arial"/>
          <w:lang w:eastAsia="zh-CN"/>
        </w:rPr>
        <w:br/>
      </w:r>
      <w:r w:rsidR="006E030B">
        <w:rPr>
          <w:rFonts w:ascii="Arial" w:hAnsi="Arial"/>
          <w:lang w:eastAsia="zh-CN"/>
        </w:rPr>
        <w:t xml:space="preserve">Similar problem arises, if many UEs fail </w:t>
      </w:r>
      <w:r w:rsidR="006E030B" w:rsidRPr="006B2D50">
        <w:rPr>
          <w:rFonts w:ascii="Arial" w:hAnsi="Arial"/>
          <w:lang w:eastAsia="zh-CN"/>
        </w:rPr>
        <w:t>to initiate CG-SDT</w:t>
      </w:r>
      <w:r w:rsidR="006E030B">
        <w:rPr>
          <w:rFonts w:ascii="Arial" w:hAnsi="Arial"/>
          <w:lang w:eastAsia="zh-CN"/>
        </w:rPr>
        <w:t xml:space="preserve"> or RA-SDT and fallback to common RACH resources.</w:t>
      </w:r>
      <w:r w:rsidR="00CB1D70">
        <w:rPr>
          <w:rFonts w:ascii="Arial" w:hAnsi="Arial"/>
          <w:lang w:eastAsia="zh-CN"/>
        </w:rPr>
        <w:t xml:space="preserve"> </w:t>
      </w:r>
    </w:p>
    <w:p w14:paraId="7A54F3B2" w14:textId="50CBE1EF" w:rsidR="006B2D50" w:rsidRDefault="007C10DE" w:rsidP="006B2D50">
      <w:pPr>
        <w:pStyle w:val="Observation"/>
      </w:pPr>
      <w:bookmarkStart w:id="22" w:name="_Toc174054151"/>
      <w:r>
        <w:t xml:space="preserve">A </w:t>
      </w:r>
      <w:r w:rsidR="006B2D50" w:rsidRPr="006B2D50">
        <w:t>UE may fail to initiate CG-SDT and perform RA-SDT causing overload of RA-SDT resource utilization</w:t>
      </w:r>
      <w:r w:rsidR="00FB2EF7">
        <w:t>, or it may</w:t>
      </w:r>
      <w:r w:rsidR="00FB2EF7" w:rsidRPr="00FB2EF7">
        <w:t xml:space="preserve"> </w:t>
      </w:r>
      <w:r w:rsidR="00FB2EF7" w:rsidRPr="006B2D50">
        <w:t xml:space="preserve">fail to initiate CG-SDT </w:t>
      </w:r>
      <w:r w:rsidR="00FB2EF7">
        <w:t xml:space="preserve">or RA-SDT </w:t>
      </w:r>
      <w:r w:rsidR="00FB2EF7" w:rsidRPr="006B2D50">
        <w:t>and perform</w:t>
      </w:r>
      <w:r w:rsidR="00FB2EF7">
        <w:t xml:space="preserve"> RA in common RACH resources</w:t>
      </w:r>
      <w:r w:rsidR="006B2D50" w:rsidRPr="006B2D50">
        <w:t>.</w:t>
      </w:r>
      <w:bookmarkEnd w:id="22"/>
    </w:p>
    <w:p w14:paraId="18572B9D" w14:textId="77777777" w:rsidR="00E11ED4" w:rsidRDefault="00BE36B8" w:rsidP="006B2D50">
      <w:pPr>
        <w:pStyle w:val="BodyText"/>
      </w:pPr>
      <w:r>
        <w:t>Hence, we propose the following</w:t>
      </w:r>
      <w:r w:rsidR="006B2D50" w:rsidRPr="006B2D50">
        <w:t>.</w:t>
      </w:r>
    </w:p>
    <w:p w14:paraId="450916D2" w14:textId="4A56EA3F" w:rsidR="006B2D50" w:rsidRPr="00CE0424" w:rsidRDefault="00E11ED4" w:rsidP="00E11ED4">
      <w:pPr>
        <w:pStyle w:val="Proposal"/>
      </w:pPr>
      <w:bookmarkStart w:id="23" w:name="_Toc174054153"/>
      <w:r>
        <w:t>If the UE</w:t>
      </w:r>
      <w:r w:rsidR="00F80480">
        <w:t xml:space="preserve"> evaluated to perform SDT, and common RACH resources were used (i.e. conditions for initiating RA-SDT or CG-SDT were not fulfilled), the UE indicates in</w:t>
      </w:r>
      <w:r w:rsidR="000843A2">
        <w:t xml:space="preserve"> the RA-Report</w:t>
      </w:r>
      <w:r w:rsidR="004546DA">
        <w:t xml:space="preserve"> whether</w:t>
      </w:r>
      <w:r w:rsidR="000C37A2">
        <w:t xml:space="preserve"> RA-SDT </w:t>
      </w:r>
      <w:r w:rsidR="0004778E">
        <w:t>and/</w:t>
      </w:r>
      <w:r w:rsidR="000C37A2">
        <w:t>or CG-SDT</w:t>
      </w:r>
      <w:r w:rsidR="0034311E" w:rsidRPr="0034311E">
        <w:t xml:space="preserve"> </w:t>
      </w:r>
      <w:r w:rsidR="0034311E">
        <w:t>initiation</w:t>
      </w:r>
      <w:r w:rsidR="00524E25">
        <w:t xml:space="preserve"> w</w:t>
      </w:r>
      <w:r w:rsidR="006A47E4">
        <w:t>as</w:t>
      </w:r>
      <w:r w:rsidR="00524E25">
        <w:t xml:space="preserve"> </w:t>
      </w:r>
      <w:r w:rsidR="00CF4C13">
        <w:t>evaluated</w:t>
      </w:r>
      <w:r w:rsidR="006A47E4">
        <w:t>.</w:t>
      </w:r>
      <w:bookmarkEnd w:id="23"/>
    </w:p>
    <w:p w14:paraId="08BD3D06" w14:textId="03653F51" w:rsidR="006B2D50" w:rsidRDefault="0034311E" w:rsidP="006B2D50">
      <w:pPr>
        <w:pStyle w:val="Proposal"/>
      </w:pPr>
      <w:bookmarkStart w:id="24" w:name="_Toc174054154"/>
      <w:r>
        <w:t>If the UE evaluated to perform CG-SDT, and RA-SDT resources were used (i.e. conditions for initiating CG-SDT not fulfilled), the UE indicates in the RA-Report that CG-SDT initiation was evaluated</w:t>
      </w:r>
      <w:r w:rsidR="006B2D50" w:rsidRPr="006B2D50">
        <w:t>.</w:t>
      </w:r>
      <w:bookmarkEnd w:id="24"/>
    </w:p>
    <w:p w14:paraId="7C999868" w14:textId="400D72EF" w:rsidR="00E14E81" w:rsidRPr="00C273A7" w:rsidRDefault="00120204" w:rsidP="00120204">
      <w:pPr>
        <w:rPr>
          <w:rFonts w:ascii="Arial" w:hAnsi="Arial"/>
          <w:lang w:eastAsia="zh-CN"/>
        </w:rPr>
      </w:pPr>
      <w:r w:rsidRPr="00C273A7">
        <w:rPr>
          <w:rFonts w:ascii="Arial" w:hAnsi="Arial"/>
          <w:lang w:eastAsia="zh-CN"/>
        </w:rPr>
        <w:t xml:space="preserve">Related to CG-SDT, we believe that it is also beneficial to include the reason </w:t>
      </w:r>
      <w:r w:rsidR="000F7B11" w:rsidRPr="00C273A7">
        <w:rPr>
          <w:rFonts w:ascii="Arial" w:hAnsi="Arial"/>
          <w:lang w:eastAsia="zh-CN"/>
        </w:rPr>
        <w:t xml:space="preserve">related to </w:t>
      </w:r>
      <w:r w:rsidRPr="00C273A7">
        <w:rPr>
          <w:rFonts w:ascii="Arial" w:hAnsi="Arial"/>
          <w:lang w:eastAsia="zh-CN"/>
        </w:rPr>
        <w:t>why the CG-SDT failed</w:t>
      </w:r>
      <w:r w:rsidR="0018176A" w:rsidRPr="00C273A7">
        <w:rPr>
          <w:rFonts w:ascii="Arial" w:hAnsi="Arial"/>
          <w:lang w:eastAsia="zh-CN"/>
        </w:rPr>
        <w:t>, which according to TS 38.32</w:t>
      </w:r>
      <w:r w:rsidR="00C273A7" w:rsidRPr="00C273A7">
        <w:rPr>
          <w:rFonts w:ascii="Arial" w:hAnsi="Arial"/>
          <w:lang w:eastAsia="zh-CN"/>
        </w:rPr>
        <w:t>1 are</w:t>
      </w:r>
      <w:r w:rsidR="0018176A" w:rsidRPr="00C273A7">
        <w:rPr>
          <w:rFonts w:ascii="Arial" w:hAnsi="Arial"/>
          <w:lang w:eastAsia="zh-CN"/>
        </w:rPr>
        <w:t xml:space="preserve"> TA for CG-SDT not valid, </w:t>
      </w:r>
      <w:r w:rsidR="00727D25">
        <w:rPr>
          <w:rFonts w:ascii="Arial" w:hAnsi="Arial"/>
          <w:lang w:eastAsia="zh-CN"/>
        </w:rPr>
        <w:t xml:space="preserve">SSB </w:t>
      </w:r>
      <w:r w:rsidR="0018176A" w:rsidRPr="00C273A7">
        <w:rPr>
          <w:rFonts w:ascii="Arial" w:hAnsi="Arial"/>
          <w:lang w:eastAsia="zh-CN"/>
        </w:rPr>
        <w:t xml:space="preserve">RSRP measured level smaller than the CG-SDT </w:t>
      </w:r>
      <w:r w:rsidR="00727D25">
        <w:rPr>
          <w:rFonts w:ascii="Arial" w:hAnsi="Arial"/>
          <w:lang w:eastAsia="zh-CN"/>
        </w:rPr>
        <w:t xml:space="preserve">SSB </w:t>
      </w:r>
      <w:r w:rsidR="0018176A" w:rsidRPr="00C273A7">
        <w:rPr>
          <w:rFonts w:ascii="Arial" w:hAnsi="Arial"/>
          <w:lang w:eastAsia="zh-CN"/>
        </w:rPr>
        <w:t>RSRP threshold</w:t>
      </w:r>
      <w:r w:rsidR="007176B0">
        <w:rPr>
          <w:rFonts w:ascii="Arial" w:hAnsi="Arial"/>
          <w:lang w:eastAsia="zh-CN"/>
        </w:rPr>
        <w:t xml:space="preserve">, </w:t>
      </w:r>
      <w:r w:rsidR="007176B0" w:rsidRPr="007176B0">
        <w:rPr>
          <w:rFonts w:ascii="Arial" w:hAnsi="Arial"/>
          <w:lang w:eastAsia="zh-CN"/>
        </w:rPr>
        <w:t>i.e.</w:t>
      </w:r>
      <w:r w:rsidR="007176B0">
        <w:rPr>
          <w:rFonts w:ascii="Arial" w:hAnsi="Arial"/>
          <w:lang w:eastAsia="zh-CN"/>
        </w:rPr>
        <w:t>, smaller than</w:t>
      </w:r>
      <w:r w:rsidR="007176B0" w:rsidRPr="007176B0">
        <w:rPr>
          <w:rFonts w:ascii="Arial" w:hAnsi="Arial"/>
          <w:lang w:eastAsia="zh-CN"/>
        </w:rPr>
        <w:t xml:space="preserve"> </w:t>
      </w:r>
      <w:r w:rsidR="007176B0" w:rsidRPr="007176B0">
        <w:rPr>
          <w:rFonts w:ascii="Arial" w:hAnsi="Arial"/>
          <w:i/>
          <w:iCs/>
          <w:lang w:eastAsia="zh-CN"/>
        </w:rPr>
        <w:t>cg-SDT-RSRP-ThresholdSSB</w:t>
      </w:r>
      <w:r w:rsidR="007176B0" w:rsidRPr="00C273A7">
        <w:rPr>
          <w:rFonts w:ascii="Arial" w:hAnsi="Arial"/>
          <w:lang w:eastAsia="zh-CN"/>
        </w:rPr>
        <w:t xml:space="preserve">, </w:t>
      </w:r>
      <w:r w:rsidR="0018176A" w:rsidRPr="00C273A7">
        <w:rPr>
          <w:rFonts w:ascii="Arial" w:hAnsi="Arial"/>
          <w:lang w:eastAsia="zh-CN"/>
        </w:rPr>
        <w:t>or the next occasion for CG-SDT is too far away in time</w:t>
      </w:r>
      <w:r w:rsidRPr="00C273A7">
        <w:rPr>
          <w:rFonts w:ascii="Arial" w:hAnsi="Arial"/>
          <w:lang w:eastAsia="zh-CN"/>
        </w:rPr>
        <w:t>.</w:t>
      </w:r>
      <w:r w:rsidR="000F7B11" w:rsidRPr="00C273A7">
        <w:rPr>
          <w:rFonts w:ascii="Arial" w:hAnsi="Arial"/>
          <w:lang w:eastAsia="zh-CN"/>
        </w:rPr>
        <w:t xml:space="preserve"> This would help the gNB to improve CG-SDT</w:t>
      </w:r>
      <w:r w:rsidR="001F0805" w:rsidRPr="00C273A7">
        <w:rPr>
          <w:rFonts w:ascii="Arial" w:hAnsi="Arial"/>
          <w:lang w:eastAsia="zh-CN"/>
        </w:rPr>
        <w:t xml:space="preserve"> configuration, thereby limiting the overload issues in common RA or RA-SDT resources.</w:t>
      </w:r>
    </w:p>
    <w:p w14:paraId="29E57514" w14:textId="697C51B1" w:rsidR="001F0805" w:rsidRDefault="001F0805" w:rsidP="001F0805">
      <w:pPr>
        <w:pStyle w:val="Proposal"/>
      </w:pPr>
      <w:bookmarkStart w:id="25" w:name="_Toc174054155"/>
      <w:r>
        <w:t xml:space="preserve">RAN2 to further discuss whether to include in the RA-Report </w:t>
      </w:r>
      <w:r w:rsidR="00AD3C0F">
        <w:t xml:space="preserve">information related </w:t>
      </w:r>
      <w:r w:rsidR="004F57B4">
        <w:t>to</w:t>
      </w:r>
      <w:r w:rsidR="00AD3C0F">
        <w:t xml:space="preserve"> the cause of CG-SDT </w:t>
      </w:r>
      <w:r w:rsidR="00646B83">
        <w:t>evaluation</w:t>
      </w:r>
      <w:r w:rsidR="00AD3C0F">
        <w:t xml:space="preserve"> failure prior to the random access procedure.</w:t>
      </w:r>
      <w:bookmarkEnd w:id="25"/>
    </w:p>
    <w:p w14:paraId="540AD0B6" w14:textId="1816BBAC" w:rsidR="00C71414" w:rsidRPr="00933E24" w:rsidRDefault="00534607" w:rsidP="00534607">
      <w:pPr>
        <w:rPr>
          <w:rFonts w:ascii="Arial" w:hAnsi="Arial"/>
          <w:lang w:eastAsia="zh-CN"/>
        </w:rPr>
      </w:pPr>
      <w:r w:rsidRPr="00933E24">
        <w:rPr>
          <w:rFonts w:ascii="Arial" w:hAnsi="Arial"/>
          <w:lang w:eastAsia="zh-CN"/>
        </w:rPr>
        <w:t>From RAN2#126 agreement there is also the following FFS:</w:t>
      </w:r>
    </w:p>
    <w:p w14:paraId="652BF57C" w14:textId="76B79B31" w:rsidR="00534607" w:rsidRDefault="00534607" w:rsidP="00534607">
      <w:r w:rsidRPr="00972393">
        <w:rPr>
          <w:rFonts w:ascii="Arial" w:hAnsi="Arial"/>
          <w:noProof/>
          <w:lang w:eastAsia="zh-CN"/>
        </w:rPr>
        <mc:AlternateContent>
          <mc:Choice Requires="wps">
            <w:drawing>
              <wp:inline distT="0" distB="0" distL="0" distR="0" wp14:anchorId="7CC9932E" wp14:editId="6F5E6B4D">
                <wp:extent cx="6120765" cy="738506"/>
                <wp:effectExtent l="0" t="0" r="13335"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38506"/>
                        </a:xfrm>
                        <a:prstGeom prst="rect">
                          <a:avLst/>
                        </a:prstGeom>
                        <a:solidFill>
                          <a:srgbClr val="FFFFFF"/>
                        </a:solidFill>
                        <a:ln w="9525">
                          <a:solidFill>
                            <a:srgbClr val="000000"/>
                          </a:solidFill>
                          <a:miter lim="800000"/>
                          <a:headEnd/>
                          <a:tailEnd/>
                        </a:ln>
                      </wps:spPr>
                      <wps:txbx>
                        <w:txbxContent>
                          <w:p w14:paraId="0093084B" w14:textId="11896057" w:rsidR="00534607" w:rsidRPr="007711C3" w:rsidRDefault="00CB2298" w:rsidP="00534607">
                            <w:pPr>
                              <w:pStyle w:val="ListParagraph"/>
                              <w:numPr>
                                <w:ilvl w:val="0"/>
                                <w:numId w:val="28"/>
                              </w:numPr>
                              <w:ind w:left="284"/>
                              <w:rPr>
                                <w:rFonts w:ascii="Arial" w:hAnsi="Arial"/>
                                <w:lang w:eastAsia="zh-CN"/>
                              </w:rPr>
                            </w:pPr>
                            <w:r>
                              <w:t>When SDT failure happens, the UE can indicate the failure cause of SDT to the network, e.g. T319a expiration. Details are TBD, e.g. if RSRP and data volume can also be included in such report.</w:t>
                            </w:r>
                          </w:p>
                        </w:txbxContent>
                      </wps:txbx>
                      <wps:bodyPr rot="0" vert="horz" wrap="square" lIns="91440" tIns="45720" rIns="91440" bIns="45720" anchor="t" anchorCtr="0">
                        <a:spAutoFit/>
                      </wps:bodyPr>
                    </wps:wsp>
                  </a:graphicData>
                </a:graphic>
              </wp:inline>
            </w:drawing>
          </mc:Choice>
          <mc:Fallback>
            <w:pict>
              <v:shape w14:anchorId="7CC9932E" id="Text Box 4" o:spid="_x0000_s1029" type="#_x0000_t202" style="width:481.95pt;height:5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aaTFQIAACYEAAAOAAAAZHJzL2Uyb0RvYy54bWysU9tu2zAMfR+wfxD0vthJkzQ14hRdugwD&#10;ugvQ7QNkWY6FSaImKbGzrx8lu2l2exmmB4EUqUPykFzf9lqRo3BeginpdJJTIgyHWpp9Sb983r1a&#10;UeIDMzVTYERJT8LT283LF+vOFmIGLahaOIIgxhedLWkbgi2yzPNWaOYnYIVBYwNOs4Cq22e1Yx2i&#10;a5XN8nyZdeBq64AL7/H1fjDSTcJvGsHDx6bxIhBVUswtpNulu4p3tlmzYu+YbSUf02D/kIVm0mDQ&#10;M9Q9C4wcnPwNSkvuwEMTJhx0Bk0juUg1YDXT/JdqHltmRaoFyfH2TJP/f7D8w/HRfnIk9K+hxwam&#10;Irx9AP7VEwPblpm9uHMOulawGgNPI2VZZ30xfo1U+8JHkKp7DzU2mR0CJKC+cTqygnUSRMcGnM6k&#10;iz4Qjo/L6Sy/Xi4o4Wi7vlot8mUKwYqn39b58FaAJlEoqcOmJnR2fPAhZsOKJ5cYzIOS9U4qlRS3&#10;r7bKkSPDAdilM6L/5KYM6Up6s5gtBgL+CpGn8ycILQNOspK6pKuzEysibW9MneYsMKkGGVNWZuQx&#10;UjeQGPqqJ7Iu6VUMEGmtoD4hsQ6GwcVFQ6EF952SDoe2pP7bgTlBiXpnsDk30/k8TnlS5ovrGSru&#10;0lJdWpjhCFXSQMkgbkPajMSbvcMm7mTi9zmTMWUcxkT7uDhx2i/15PW83psfAAAA//8DAFBLAwQU&#10;AAYACAAAACEAVSb6w9sAAAAFAQAADwAAAGRycy9kb3ducmV2LnhtbEyPwU7DMBBE70j8g7VI3KhT&#10;KiIa4lSIqmdKQULcHHsbR43XIXbTlK9n4QKXkVYzmnlbribfiRGH2AZSMJ9lIJBMsC01Ct5eNzf3&#10;IGLSZHUXCBWcMcKqurwodWHDiV5w3KVGcAnFQitwKfWFlNE49DrOQo/E3j4MXic+h0baQZ+43Hfy&#10;Nsty6XVLvOB0j08OzWF39ArievvZm/22Pjh7/npej3fmffOh1PXV9PgAIuGU/sLwg8/oUDFTHY5k&#10;o+gU8CPpV9lb5osliJpD83wBsirlf/rqGwAA//8DAFBLAQItABQABgAIAAAAIQC2gziS/gAAAOEB&#10;AAATAAAAAAAAAAAAAAAAAAAAAABbQ29udGVudF9UeXBlc10ueG1sUEsBAi0AFAAGAAgAAAAhADj9&#10;If/WAAAAlAEAAAsAAAAAAAAAAAAAAAAALwEAAF9yZWxzLy5yZWxzUEsBAi0AFAAGAAgAAAAhACCl&#10;ppMVAgAAJgQAAA4AAAAAAAAAAAAAAAAALgIAAGRycy9lMm9Eb2MueG1sUEsBAi0AFAAGAAgAAAAh&#10;AFUm+sPbAAAABQEAAA8AAAAAAAAAAAAAAAAAbwQAAGRycy9kb3ducmV2LnhtbFBLBQYAAAAABAAE&#10;APMAAAB3BQAAAAA=&#10;">
                <v:textbox style="mso-fit-shape-to-text:t">
                  <w:txbxContent>
                    <w:p w14:paraId="0093084B" w14:textId="11896057" w:rsidR="00534607" w:rsidRPr="007711C3" w:rsidRDefault="00CB2298" w:rsidP="00534607">
                      <w:pPr>
                        <w:pStyle w:val="ListParagraph"/>
                        <w:numPr>
                          <w:ilvl w:val="0"/>
                          <w:numId w:val="28"/>
                        </w:numPr>
                        <w:ind w:left="284"/>
                        <w:rPr>
                          <w:rFonts w:ascii="Arial" w:hAnsi="Arial"/>
                          <w:lang w:eastAsia="zh-CN"/>
                        </w:rPr>
                      </w:pPr>
                      <w:r>
                        <w:t>When SDT failure happens, the UE can indicate the failure cause of SDT to the network, e.g. T319a expiration. Details are TBD, e.g. if RSRP and data volume can also be included in such report.</w:t>
                      </w:r>
                    </w:p>
                  </w:txbxContent>
                </v:textbox>
                <w10:anchorlock/>
              </v:shape>
            </w:pict>
          </mc:Fallback>
        </mc:AlternateContent>
      </w:r>
    </w:p>
    <w:p w14:paraId="5DDCAED7" w14:textId="33F5B66A" w:rsidR="00933E24" w:rsidRPr="0079424C" w:rsidRDefault="00AF60A3" w:rsidP="007D09AE">
      <w:pPr>
        <w:rPr>
          <w:rFonts w:ascii="Arial" w:hAnsi="Arial"/>
          <w:lang w:eastAsia="zh-CN"/>
        </w:rPr>
      </w:pPr>
      <w:r w:rsidRPr="0079424C">
        <w:rPr>
          <w:rFonts w:ascii="Arial" w:hAnsi="Arial"/>
          <w:lang w:eastAsia="zh-CN"/>
        </w:rPr>
        <w:t xml:space="preserve">According to TS 38.300, </w:t>
      </w:r>
      <w:r w:rsidR="00755BBB" w:rsidRPr="0079424C">
        <w:rPr>
          <w:rFonts w:ascii="Arial" w:hAnsi="Arial"/>
          <w:lang w:eastAsia="zh-CN"/>
        </w:rPr>
        <w:t>an ini</w:t>
      </w:r>
      <w:r w:rsidR="00B057FD">
        <w:rPr>
          <w:rFonts w:ascii="Arial" w:hAnsi="Arial"/>
          <w:lang w:eastAsia="zh-CN"/>
        </w:rPr>
        <w:t>ti</w:t>
      </w:r>
      <w:r w:rsidR="00755BBB" w:rsidRPr="0079424C">
        <w:rPr>
          <w:rFonts w:ascii="Arial" w:hAnsi="Arial"/>
          <w:lang w:eastAsia="zh-CN"/>
        </w:rPr>
        <w:t>ated SDT can fail in the following cases:</w:t>
      </w:r>
    </w:p>
    <w:p w14:paraId="195DCD5D" w14:textId="1C019AD1" w:rsidR="00755BBB" w:rsidRDefault="00755BBB" w:rsidP="007D09AE">
      <w:r w:rsidRPr="00972393">
        <w:rPr>
          <w:rFonts w:ascii="Arial" w:hAnsi="Arial"/>
          <w:noProof/>
          <w:lang w:eastAsia="zh-CN"/>
        </w:rPr>
        <w:lastRenderedPageBreak/>
        <mc:AlternateContent>
          <mc:Choice Requires="wps">
            <w:drawing>
              <wp:inline distT="0" distB="0" distL="0" distR="0" wp14:anchorId="049D0485" wp14:editId="02154183">
                <wp:extent cx="6120765" cy="441325"/>
                <wp:effectExtent l="0" t="0" r="13335" b="158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41325"/>
                        </a:xfrm>
                        <a:prstGeom prst="rect">
                          <a:avLst/>
                        </a:prstGeom>
                        <a:solidFill>
                          <a:srgbClr val="FFFFFF"/>
                        </a:solidFill>
                        <a:ln w="9525">
                          <a:solidFill>
                            <a:srgbClr val="000000"/>
                          </a:solidFill>
                          <a:miter lim="800000"/>
                          <a:headEnd/>
                          <a:tailEnd/>
                        </a:ln>
                      </wps:spPr>
                      <wps:txbx>
                        <w:txbxContent>
                          <w:p w14:paraId="7BAF3FEA" w14:textId="2D3B3FD7" w:rsidR="00755BBB" w:rsidRPr="00755BBB" w:rsidRDefault="00755BBB" w:rsidP="00755BBB">
                            <w:pPr>
                              <w:pStyle w:val="ListParagraph"/>
                              <w:numPr>
                                <w:ilvl w:val="0"/>
                                <w:numId w:val="28"/>
                              </w:numPr>
                              <w:ind w:left="284"/>
                              <w:rPr>
                                <w:rFonts w:ascii="Arial" w:hAnsi="Arial"/>
                                <w:lang w:eastAsia="zh-CN"/>
                              </w:rPr>
                            </w:pPr>
                            <w:r>
                              <w:rPr>
                                <w:lang w:val="en-US"/>
                              </w:rPr>
                              <w:t>From TS 38.300:</w:t>
                            </w:r>
                          </w:p>
                          <w:p w14:paraId="6A187C5F" w14:textId="77777777" w:rsidR="00755BBB" w:rsidRDefault="00755BBB" w:rsidP="00755BBB">
                            <w:pPr>
                              <w:rPr>
                                <w:rFonts w:ascii="Arial" w:hAnsi="Arial"/>
                                <w:lang w:eastAsia="zh-CN"/>
                              </w:rPr>
                            </w:pPr>
                          </w:p>
                          <w:p w14:paraId="77CF851A" w14:textId="77777777" w:rsidR="00195464" w:rsidRPr="00AD7840" w:rsidRDefault="00195464" w:rsidP="00195464">
                            <w:pPr>
                              <w:rPr>
                                <w:rFonts w:eastAsia="Yu Mincho"/>
                              </w:rPr>
                            </w:pPr>
                            <w:r w:rsidRPr="00AD7840">
                              <w:rPr>
                                <w:rFonts w:eastAsia="Yu Mincho"/>
                              </w:rPr>
                              <w:t>Once initiated, the SDT procedure is either:</w:t>
                            </w:r>
                          </w:p>
                          <w:p w14:paraId="6F32275C" w14:textId="77777777" w:rsidR="00195464" w:rsidRPr="00AD7840" w:rsidRDefault="00195464" w:rsidP="00195464">
                            <w:pPr>
                              <w:pStyle w:val="B1"/>
                              <w:rPr>
                                <w:rFonts w:eastAsia="Yu Mincho"/>
                              </w:rPr>
                            </w:pPr>
                            <w:r w:rsidRPr="00AD7840">
                              <w:rPr>
                                <w:rFonts w:eastAsia="Yu Mincho"/>
                              </w:rPr>
                              <w:t>-</w:t>
                            </w:r>
                            <w:r w:rsidRPr="00AD7840">
                              <w:rPr>
                                <w:rFonts w:eastAsia="Yu Mincho"/>
                              </w:rPr>
                              <w:tab/>
                              <w:t xml:space="preserve">successfully completed after the UE is directed to RRC_IDLE (via </w:t>
                            </w:r>
                            <w:r w:rsidRPr="00AD7840">
                              <w:rPr>
                                <w:rFonts w:eastAsia="Yu Mincho"/>
                                <w:i/>
                                <w:iCs/>
                              </w:rPr>
                              <w:t>RRCRelease</w:t>
                            </w:r>
                            <w:r w:rsidRPr="00AD7840">
                              <w:rPr>
                                <w:rFonts w:eastAsia="Yu Mincho"/>
                              </w:rPr>
                              <w:t xml:space="preserve">) or to continue in RRC_INACTIVE (via </w:t>
                            </w:r>
                            <w:r w:rsidRPr="00AD7840">
                              <w:rPr>
                                <w:rFonts w:eastAsia="Yu Mincho"/>
                                <w:i/>
                                <w:iCs/>
                              </w:rPr>
                              <w:t>RRCRelease or RRCReject</w:t>
                            </w:r>
                            <w:r w:rsidRPr="00AD7840">
                              <w:rPr>
                                <w:rFonts w:eastAsia="Yu Mincho"/>
                              </w:rPr>
                              <w:t xml:space="preserve">) or to RRC_CONNECTED (via </w:t>
                            </w:r>
                            <w:r w:rsidRPr="00AD7840">
                              <w:rPr>
                                <w:rFonts w:eastAsia="Yu Mincho"/>
                                <w:i/>
                                <w:iCs/>
                              </w:rPr>
                              <w:t>RRCResume or RRCSetup</w:t>
                            </w:r>
                            <w:r w:rsidRPr="00AD7840">
                              <w:rPr>
                                <w:rFonts w:eastAsia="Yu Mincho"/>
                              </w:rPr>
                              <w:t>); or</w:t>
                            </w:r>
                          </w:p>
                          <w:p w14:paraId="721CEA6E" w14:textId="77777777" w:rsidR="00195464" w:rsidRPr="00AD7840" w:rsidRDefault="00195464" w:rsidP="00195464">
                            <w:pPr>
                              <w:pStyle w:val="B1"/>
                              <w:rPr>
                                <w:rFonts w:eastAsia="Yu Mincho"/>
                              </w:rPr>
                            </w:pPr>
                            <w:r w:rsidRPr="00195464">
                              <w:rPr>
                                <w:rFonts w:eastAsia="Yu Mincho"/>
                                <w:highlight w:val="yellow"/>
                              </w:rPr>
                              <w:t>-</w:t>
                            </w:r>
                            <w:r w:rsidRPr="00195464">
                              <w:rPr>
                                <w:rFonts w:eastAsia="Yu Mincho"/>
                                <w:highlight w:val="yellow"/>
                              </w:rPr>
                              <w:tab/>
                              <w:t xml:space="preserve">unsuccessfully completed upon cell re-selection, </w:t>
                            </w:r>
                            <w:r w:rsidRPr="00195464">
                              <w:rPr>
                                <w:highlight w:val="yellow"/>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36618901" w14:textId="5A5B3365" w:rsidR="00755BBB" w:rsidRPr="00755BBB" w:rsidRDefault="00755BBB" w:rsidP="00195464">
                            <w:pPr>
                              <w:pStyle w:val="B1"/>
                              <w:rPr>
                                <w:rFonts w:eastAsia="Yu Mincho"/>
                              </w:rPr>
                            </w:pPr>
                          </w:p>
                        </w:txbxContent>
                      </wps:txbx>
                      <wps:bodyPr rot="0" vert="horz" wrap="square" lIns="91440" tIns="45720" rIns="91440" bIns="45720" anchor="t" anchorCtr="0">
                        <a:spAutoFit/>
                      </wps:bodyPr>
                    </wps:wsp>
                  </a:graphicData>
                </a:graphic>
              </wp:inline>
            </w:drawing>
          </mc:Choice>
          <mc:Fallback>
            <w:pict>
              <v:shape w14:anchorId="049D0485" id="Text Box 5" o:spid="_x0000_s1030" type="#_x0000_t202" style="width:481.95pt;height:3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8XZEwIAACYEAAAOAAAAZHJzL2Uyb0RvYy54bWysU9tu2zAMfR+wfxD0vjjOkrQ14hRdugwD&#10;ugvQ7QNkWY6FyaJGKbG7ry+luGl2wR6G6UEgReqQPCRX10Nn2EGh12BLnk+mnCkrodZ2V/KvX7av&#10;LjnzQdhaGLCq5A/K8+v1yxer3hVqBi2YWiEjEOuL3pW8DcEVWeZlqzrhJ+CUJWMD2IlAKu6yGkVP&#10;6J3JZtPpMusBa4cglff0ens08nXCbxolw6em8SowU3LKLaQb013FO1uvRLFD4VotxzTEP2TRCW0p&#10;6AnqVgTB9qh/g+q0RPDQhImELoOm0VKlGqiafPpLNfetcCrVQuR4d6LJ/z9Y+fFw7z4jC8MbGKiB&#10;qQjv7kB+88zCphV2p24QoW+VqClwHinLeueL8Wuk2hc+glT9B6ipyWIfIAENDXaRFaqTETo14OFE&#10;uhoCk/S4zGfTi+WCM0m2+Tx/PVukEKJ4+u3Qh3cKOhaFkiM1NaGLw50PMRtRPLnEYB6MrrfamKTg&#10;rtoYZAdBA7BNZ0T/yc1Y1pf8akGx/w4xTedPEJ0ONMlGdyW/PDmJItL21tZpzoLQ5ihTysaOPEbq&#10;jiSGoRqYromGGCDSWkH9QMQiHAeXFo2EFvAHZz0Nbcn9971AxZl5b6k5V/l8Hqc8KfPFxYwUPLdU&#10;5xZhJUGVPHB2FDchbUZiwN1QE7c68fucyZgyDWOifVycOO3nevJ6Xu/1IwAAAP//AwBQSwMEFAAG&#10;AAgAAAAhAAsK8aPcAAAABAEAAA8AAABkcnMvZG93bnJldi54bWxMj8FuwjAQRO+V+g/WVuJWHIqI&#10;mhAHVUWcoVCp6s2xlzgiXqexCYGvr9tLe1lpNKOZt8VqtC0bsPeNIwGzaQIMSTndUC3g/bB5fAbm&#10;gyQtW0co4IoeVuX9XSFz7S70hsM+1CyWkM+lABNCl3PulUEr/dR1SNE7ut7KEGVfc93LSyy3LX9K&#10;kpRb2VBcMLLDV4PqtD9bAX69++rUcVedjL7etuthoT42n0JMHsaXJbCAY/gLww9+RIcyMlXuTNqz&#10;VkB8JPze6GXpPANWCUizBfCy4P/hy28AAAD//wMAUEsBAi0AFAAGAAgAAAAhALaDOJL+AAAA4QEA&#10;ABMAAAAAAAAAAAAAAAAAAAAAAFtDb250ZW50X1R5cGVzXS54bWxQSwECLQAUAAYACAAAACEAOP0h&#10;/9YAAACUAQAACwAAAAAAAAAAAAAAAAAvAQAAX3JlbHMvLnJlbHNQSwECLQAUAAYACAAAACEAURPF&#10;2RMCAAAmBAAADgAAAAAAAAAAAAAAAAAuAgAAZHJzL2Uyb0RvYy54bWxQSwECLQAUAAYACAAAACEA&#10;Cwrxo9wAAAAEAQAADwAAAAAAAAAAAAAAAABtBAAAZHJzL2Rvd25yZXYueG1sUEsFBgAAAAAEAAQA&#10;8wAAAHYFAAAAAA==&#10;">
                <v:textbox style="mso-fit-shape-to-text:t">
                  <w:txbxContent>
                    <w:p w14:paraId="7BAF3FEA" w14:textId="2D3B3FD7" w:rsidR="00755BBB" w:rsidRPr="00755BBB" w:rsidRDefault="00755BBB" w:rsidP="00755BBB">
                      <w:pPr>
                        <w:pStyle w:val="ListParagraph"/>
                        <w:numPr>
                          <w:ilvl w:val="0"/>
                          <w:numId w:val="28"/>
                        </w:numPr>
                        <w:ind w:left="284"/>
                        <w:rPr>
                          <w:rFonts w:ascii="Arial" w:hAnsi="Arial"/>
                          <w:lang w:eastAsia="zh-CN"/>
                        </w:rPr>
                      </w:pPr>
                      <w:r>
                        <w:rPr>
                          <w:lang w:val="en-US"/>
                        </w:rPr>
                        <w:t>From TS 38.300:</w:t>
                      </w:r>
                    </w:p>
                    <w:p w14:paraId="6A187C5F" w14:textId="77777777" w:rsidR="00755BBB" w:rsidRDefault="00755BBB" w:rsidP="00755BBB">
                      <w:pPr>
                        <w:rPr>
                          <w:rFonts w:ascii="Arial" w:hAnsi="Arial"/>
                          <w:lang w:eastAsia="zh-CN"/>
                        </w:rPr>
                      </w:pPr>
                    </w:p>
                    <w:p w14:paraId="77CF851A" w14:textId="77777777" w:rsidR="00195464" w:rsidRPr="00AD7840" w:rsidRDefault="00195464" w:rsidP="00195464">
                      <w:pPr>
                        <w:rPr>
                          <w:rFonts w:eastAsia="Yu Mincho"/>
                        </w:rPr>
                      </w:pPr>
                      <w:r w:rsidRPr="00AD7840">
                        <w:rPr>
                          <w:rFonts w:eastAsia="Yu Mincho"/>
                        </w:rPr>
                        <w:t>Once initiated, the SDT procedure is either:</w:t>
                      </w:r>
                    </w:p>
                    <w:p w14:paraId="6F32275C" w14:textId="77777777" w:rsidR="00195464" w:rsidRPr="00AD7840" w:rsidRDefault="00195464" w:rsidP="00195464">
                      <w:pPr>
                        <w:pStyle w:val="B1"/>
                        <w:rPr>
                          <w:rFonts w:eastAsia="Yu Mincho"/>
                        </w:rPr>
                      </w:pPr>
                      <w:r w:rsidRPr="00AD7840">
                        <w:rPr>
                          <w:rFonts w:eastAsia="Yu Mincho"/>
                        </w:rPr>
                        <w:t>-</w:t>
                      </w:r>
                      <w:r w:rsidRPr="00AD7840">
                        <w:rPr>
                          <w:rFonts w:eastAsia="Yu Mincho"/>
                        </w:rPr>
                        <w:tab/>
                        <w:t xml:space="preserve">successfully completed after the UE is directed to RRC_IDLE (via </w:t>
                      </w:r>
                      <w:r w:rsidRPr="00AD7840">
                        <w:rPr>
                          <w:rFonts w:eastAsia="Yu Mincho"/>
                          <w:i/>
                          <w:iCs/>
                        </w:rPr>
                        <w:t>RRCRelease</w:t>
                      </w:r>
                      <w:r w:rsidRPr="00AD7840">
                        <w:rPr>
                          <w:rFonts w:eastAsia="Yu Mincho"/>
                        </w:rPr>
                        <w:t xml:space="preserve">) or to continue in RRC_INACTIVE (via </w:t>
                      </w:r>
                      <w:r w:rsidRPr="00AD7840">
                        <w:rPr>
                          <w:rFonts w:eastAsia="Yu Mincho"/>
                          <w:i/>
                          <w:iCs/>
                        </w:rPr>
                        <w:t>RRCRelease or RRCReject</w:t>
                      </w:r>
                      <w:r w:rsidRPr="00AD7840">
                        <w:rPr>
                          <w:rFonts w:eastAsia="Yu Mincho"/>
                        </w:rPr>
                        <w:t xml:space="preserve">) or to RRC_CONNECTED (via </w:t>
                      </w:r>
                      <w:r w:rsidRPr="00AD7840">
                        <w:rPr>
                          <w:rFonts w:eastAsia="Yu Mincho"/>
                          <w:i/>
                          <w:iCs/>
                        </w:rPr>
                        <w:t>RRCResume or RRCSetup</w:t>
                      </w:r>
                      <w:r w:rsidRPr="00AD7840">
                        <w:rPr>
                          <w:rFonts w:eastAsia="Yu Mincho"/>
                        </w:rPr>
                        <w:t>); or</w:t>
                      </w:r>
                    </w:p>
                    <w:p w14:paraId="721CEA6E" w14:textId="77777777" w:rsidR="00195464" w:rsidRPr="00AD7840" w:rsidRDefault="00195464" w:rsidP="00195464">
                      <w:pPr>
                        <w:pStyle w:val="B1"/>
                        <w:rPr>
                          <w:rFonts w:eastAsia="Yu Mincho"/>
                        </w:rPr>
                      </w:pPr>
                      <w:r w:rsidRPr="00195464">
                        <w:rPr>
                          <w:rFonts w:eastAsia="Yu Mincho"/>
                          <w:highlight w:val="yellow"/>
                        </w:rPr>
                        <w:t>-</w:t>
                      </w:r>
                      <w:r w:rsidRPr="00195464">
                        <w:rPr>
                          <w:rFonts w:eastAsia="Yu Mincho"/>
                          <w:highlight w:val="yellow"/>
                        </w:rPr>
                        <w:tab/>
                        <w:t xml:space="preserve">unsuccessfully completed upon cell re-selection, </w:t>
                      </w:r>
                      <w:r w:rsidRPr="00195464">
                        <w:rPr>
                          <w:highlight w:val="yellow"/>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36618901" w14:textId="5A5B3365" w:rsidR="00755BBB" w:rsidRPr="00755BBB" w:rsidRDefault="00755BBB" w:rsidP="00195464">
                      <w:pPr>
                        <w:pStyle w:val="B1"/>
                        <w:rPr>
                          <w:rFonts w:eastAsia="Yu Mincho"/>
                        </w:rPr>
                      </w:pPr>
                    </w:p>
                  </w:txbxContent>
                </v:textbox>
                <w10:anchorlock/>
              </v:shape>
            </w:pict>
          </mc:Fallback>
        </mc:AlternateContent>
      </w:r>
    </w:p>
    <w:p w14:paraId="055F8EBE" w14:textId="5E3AC464" w:rsidR="00755BBB" w:rsidRPr="0079424C" w:rsidRDefault="006F73B2" w:rsidP="007D09AE">
      <w:pPr>
        <w:rPr>
          <w:rFonts w:ascii="Arial" w:hAnsi="Arial"/>
          <w:lang w:eastAsia="zh-CN"/>
        </w:rPr>
      </w:pPr>
      <w:r w:rsidRPr="0079424C">
        <w:rPr>
          <w:rFonts w:ascii="Arial" w:hAnsi="Arial"/>
          <w:lang w:eastAsia="zh-CN"/>
        </w:rPr>
        <w:t>Since the UE does not declare RLF upon SDT failure, then it may be beneficial if the UE could include the cause of failures</w:t>
      </w:r>
      <w:r w:rsidR="00EA3A68" w:rsidRPr="0079424C">
        <w:rPr>
          <w:rFonts w:ascii="Arial" w:hAnsi="Arial"/>
          <w:lang w:eastAsia="zh-CN"/>
        </w:rPr>
        <w:t xml:space="preserve">, as listed in 38.300. </w:t>
      </w:r>
      <w:r w:rsidR="00652189">
        <w:rPr>
          <w:rFonts w:ascii="Arial" w:hAnsi="Arial"/>
          <w:lang w:eastAsia="zh-CN"/>
        </w:rPr>
        <w:t xml:space="preserve">Including the value </w:t>
      </w:r>
      <w:r w:rsidR="00DF2656">
        <w:rPr>
          <w:rFonts w:ascii="Arial" w:hAnsi="Arial"/>
          <w:lang w:eastAsia="zh-CN"/>
        </w:rPr>
        <w:t xml:space="preserve">of the RSRP when the SDT failure happens was left as TBD during last meeting. </w:t>
      </w:r>
      <w:r w:rsidR="006849CF">
        <w:rPr>
          <w:rFonts w:ascii="Arial" w:hAnsi="Arial"/>
          <w:lang w:eastAsia="zh-CN"/>
        </w:rPr>
        <w:t>In the case of the RLF</w:t>
      </w:r>
      <w:r w:rsidR="00DF2656">
        <w:rPr>
          <w:rFonts w:ascii="Arial" w:hAnsi="Arial"/>
          <w:lang w:eastAsia="zh-CN"/>
        </w:rPr>
        <w:t xml:space="preserve">, the </w:t>
      </w:r>
      <w:r w:rsidR="003B4501">
        <w:rPr>
          <w:rFonts w:ascii="Arial" w:hAnsi="Arial"/>
          <w:lang w:eastAsia="zh-CN"/>
        </w:rPr>
        <w:t xml:space="preserve">last radio measurements performed by the UE </w:t>
      </w:r>
      <w:r w:rsidR="006849CF">
        <w:rPr>
          <w:rFonts w:ascii="Arial" w:hAnsi="Arial"/>
          <w:lang w:eastAsia="zh-CN"/>
        </w:rPr>
        <w:t>prior the RLF are included in the RLF-Report because they are considered important information for the</w:t>
      </w:r>
      <w:r w:rsidR="003B4501">
        <w:rPr>
          <w:rFonts w:ascii="Arial" w:hAnsi="Arial"/>
          <w:lang w:eastAsia="zh-CN"/>
        </w:rPr>
        <w:t xml:space="preserve"> tr</w:t>
      </w:r>
      <w:r w:rsidR="006849CF">
        <w:rPr>
          <w:rFonts w:ascii="Arial" w:hAnsi="Arial"/>
          <w:lang w:eastAsia="zh-CN"/>
        </w:rPr>
        <w:t>oubleshooting of the problem. With the same logic, since the SDT failure is not captured in the RLF-Report, we believe that is beneficial if the UE could include RSRP-related information in the RA-Report</w:t>
      </w:r>
      <w:r w:rsidR="00D06E8F">
        <w:rPr>
          <w:rFonts w:ascii="Arial" w:hAnsi="Arial"/>
          <w:lang w:eastAsia="zh-CN"/>
        </w:rPr>
        <w:t xml:space="preserve">. It could be for example just an indication on whether the RSRP is above or below the </w:t>
      </w:r>
      <w:r w:rsidR="00D06E8F" w:rsidRPr="00292E19">
        <w:rPr>
          <w:rFonts w:ascii="Arial" w:hAnsi="Arial"/>
          <w:lang w:eastAsia="zh-CN"/>
        </w:rPr>
        <w:t>sdt-RSRP-Threshold.</w:t>
      </w:r>
      <w:r w:rsidR="00702677" w:rsidRPr="0079424C">
        <w:rPr>
          <w:rFonts w:ascii="Arial" w:hAnsi="Arial"/>
          <w:lang w:eastAsia="zh-CN"/>
        </w:rPr>
        <w:br/>
      </w:r>
      <w:r w:rsidR="00D74F1C">
        <w:rPr>
          <w:rFonts w:ascii="Arial" w:hAnsi="Arial"/>
          <w:lang w:eastAsia="zh-CN"/>
        </w:rPr>
        <w:t xml:space="preserve">We see also benefits </w:t>
      </w:r>
      <w:r w:rsidR="009366B5">
        <w:rPr>
          <w:rFonts w:ascii="Arial" w:hAnsi="Arial"/>
          <w:lang w:eastAsia="zh-CN"/>
        </w:rPr>
        <w:t>in</w:t>
      </w:r>
      <w:r w:rsidR="0005226A">
        <w:rPr>
          <w:rFonts w:ascii="Arial" w:hAnsi="Arial"/>
          <w:lang w:eastAsia="zh-CN"/>
        </w:rPr>
        <w:t xml:space="preserve"> the inclusion of </w:t>
      </w:r>
      <w:r w:rsidR="00702677" w:rsidRPr="0079424C">
        <w:rPr>
          <w:rFonts w:ascii="Arial" w:hAnsi="Arial"/>
          <w:lang w:eastAsia="zh-CN"/>
        </w:rPr>
        <w:t xml:space="preserve">the data volume </w:t>
      </w:r>
      <w:r w:rsidR="0005226A">
        <w:rPr>
          <w:rFonts w:ascii="Arial" w:hAnsi="Arial"/>
          <w:lang w:eastAsia="zh-CN"/>
        </w:rPr>
        <w:t>information</w:t>
      </w:r>
      <w:r w:rsidR="009366B5">
        <w:rPr>
          <w:rFonts w:ascii="Arial" w:hAnsi="Arial"/>
          <w:lang w:eastAsia="zh-CN"/>
        </w:rPr>
        <w:t xml:space="preserve"> at SDT</w:t>
      </w:r>
      <w:r w:rsidR="00533CBA">
        <w:rPr>
          <w:rFonts w:ascii="Arial" w:hAnsi="Arial"/>
          <w:lang w:eastAsia="zh-CN"/>
        </w:rPr>
        <w:t xml:space="preserve"> </w:t>
      </w:r>
      <w:r w:rsidR="00702677" w:rsidRPr="0079424C">
        <w:rPr>
          <w:rFonts w:ascii="Arial" w:hAnsi="Arial"/>
          <w:lang w:eastAsia="zh-CN"/>
        </w:rPr>
        <w:t xml:space="preserve">failure. </w:t>
      </w:r>
      <w:r w:rsidR="00ED3EB5" w:rsidRPr="0079424C">
        <w:rPr>
          <w:rFonts w:ascii="Arial" w:hAnsi="Arial"/>
          <w:lang w:eastAsia="zh-CN"/>
        </w:rPr>
        <w:t xml:space="preserve">Especially if the failure </w:t>
      </w:r>
      <w:r w:rsidR="00CE4F5E" w:rsidRPr="0079424C">
        <w:rPr>
          <w:rFonts w:ascii="Arial" w:hAnsi="Arial"/>
          <w:lang w:eastAsia="zh-CN"/>
        </w:rPr>
        <w:t xml:space="preserve">occurs due to T319 expiry, then it would be very interesting to know the remaining data volume so that the link adaptation can </w:t>
      </w:r>
      <w:r w:rsidR="00BC5BEF" w:rsidRPr="0079424C">
        <w:rPr>
          <w:rFonts w:ascii="Arial" w:hAnsi="Arial"/>
          <w:lang w:eastAsia="zh-CN"/>
        </w:rPr>
        <w:t xml:space="preserve">potentially </w:t>
      </w:r>
      <w:r w:rsidR="00CE4F5E" w:rsidRPr="0079424C">
        <w:rPr>
          <w:rFonts w:ascii="Arial" w:hAnsi="Arial"/>
          <w:lang w:eastAsia="zh-CN"/>
        </w:rPr>
        <w:t xml:space="preserve">be optimized, </w:t>
      </w:r>
      <w:r w:rsidR="00BC5BEF" w:rsidRPr="0079424C">
        <w:rPr>
          <w:rFonts w:ascii="Arial" w:hAnsi="Arial"/>
          <w:lang w:eastAsia="zh-CN"/>
        </w:rPr>
        <w:t>as well as the T319 value configuration.</w:t>
      </w:r>
    </w:p>
    <w:p w14:paraId="272B516F" w14:textId="69E3F1C1" w:rsidR="00BC5BEF" w:rsidRDefault="00BC5BEF" w:rsidP="00BC5BEF">
      <w:pPr>
        <w:pStyle w:val="Proposal"/>
      </w:pPr>
      <w:bookmarkStart w:id="26" w:name="_Toc174054156"/>
      <w:r>
        <w:t>The UE includes in the RA-Report the SDT failure causes,</w:t>
      </w:r>
      <w:r w:rsidR="008559C6">
        <w:t xml:space="preserve"> i.e. the ones specified </w:t>
      </w:r>
      <w:r w:rsidR="0073562F">
        <w:t xml:space="preserve">in TS 38.300 Section </w:t>
      </w:r>
      <w:r w:rsidR="0049237E">
        <w:t>18.0.</w:t>
      </w:r>
      <w:bookmarkEnd w:id="26"/>
    </w:p>
    <w:p w14:paraId="6075DF68" w14:textId="2A014532" w:rsidR="009174EF" w:rsidRDefault="009174EF" w:rsidP="009174EF">
      <w:pPr>
        <w:pStyle w:val="Proposal"/>
      </w:pPr>
      <w:bookmarkStart w:id="27" w:name="_Toc174054157"/>
      <w:r>
        <w:t xml:space="preserve">The UE includes in the RA-Report RSRP-related information at the time of failure, e.g. information on whether the last measured RSRP is above or below the </w:t>
      </w:r>
      <w:r w:rsidRPr="0044258C">
        <w:rPr>
          <w:rFonts w:eastAsia="DengXian"/>
          <w:i/>
        </w:rPr>
        <w:t>sdt-RSRP-Threshold</w:t>
      </w:r>
      <w:r>
        <w:t>.</w:t>
      </w:r>
      <w:bookmarkEnd w:id="27"/>
    </w:p>
    <w:p w14:paraId="2A1ED8F3" w14:textId="0400BB24" w:rsidR="00725457" w:rsidRDefault="00725457" w:rsidP="00BC5BEF">
      <w:pPr>
        <w:pStyle w:val="Proposal"/>
      </w:pPr>
      <w:bookmarkStart w:id="28" w:name="_Toc174054158"/>
      <w:r>
        <w:t>The UE includes in the RA-Report the remaining SDT data volume in the UE buffer</w:t>
      </w:r>
      <w:r w:rsidR="002D71B3">
        <w:t xml:space="preserve"> at time of SDT failure, at least for the case of</w:t>
      </w:r>
      <w:r w:rsidR="00843030">
        <w:t xml:space="preserve"> T319 expiry.</w:t>
      </w:r>
      <w:bookmarkEnd w:id="28"/>
    </w:p>
    <w:p w14:paraId="54BA254A" w14:textId="71AEE6E4" w:rsidR="002D229A" w:rsidRPr="002D229A" w:rsidRDefault="002D229A" w:rsidP="002D229A">
      <w:pPr>
        <w:pStyle w:val="Heading2"/>
      </w:pPr>
      <w:r>
        <w:t>2.3</w:t>
      </w:r>
      <w:r>
        <w:tab/>
      </w:r>
      <w:r w:rsidRPr="002D229A">
        <w:t>Enhancement of SCGFailureInformation</w:t>
      </w:r>
    </w:p>
    <w:p w14:paraId="580B0448" w14:textId="078DFF01" w:rsidR="002D229A" w:rsidRDefault="002D229A" w:rsidP="002D229A">
      <w:pPr>
        <w:rPr>
          <w:rFonts w:ascii="Arial" w:hAnsi="Arial"/>
          <w:lang w:eastAsia="zh-CN"/>
        </w:rPr>
      </w:pPr>
      <w:r w:rsidRPr="002D229A">
        <w:rPr>
          <w:rFonts w:ascii="Arial" w:hAnsi="Arial"/>
          <w:lang w:eastAsia="zh-CN"/>
        </w:rPr>
        <w:t xml:space="preserve">In RAN2#126 meeting, it was agreed to reply to RAN3 LS that RAN2 would work on EN-DC scenario for enhancement of </w:t>
      </w:r>
      <w:r w:rsidRPr="00AC36EC">
        <w:rPr>
          <w:rFonts w:ascii="Arial" w:hAnsi="Arial"/>
          <w:i/>
          <w:iCs/>
          <w:lang w:eastAsia="zh-CN"/>
        </w:rPr>
        <w:t>SCGFailureInformation</w:t>
      </w:r>
      <w:r w:rsidRPr="002D229A">
        <w:rPr>
          <w:rFonts w:ascii="Arial" w:hAnsi="Arial"/>
          <w:lang w:eastAsia="zh-CN"/>
        </w:rPr>
        <w:t>.</w:t>
      </w:r>
    </w:p>
    <w:p w14:paraId="697F51A9" w14:textId="77777777" w:rsidR="002D229A" w:rsidRPr="00972393" w:rsidRDefault="002D229A" w:rsidP="002D229A">
      <w:pPr>
        <w:rPr>
          <w:rFonts w:ascii="Arial" w:hAnsi="Arial"/>
          <w:lang w:eastAsia="zh-CN"/>
        </w:rPr>
      </w:pPr>
      <w:r w:rsidRPr="00972393">
        <w:rPr>
          <w:rFonts w:ascii="Arial" w:hAnsi="Arial"/>
          <w:noProof/>
          <w:lang w:eastAsia="zh-CN"/>
        </w:rPr>
        <mc:AlternateContent>
          <mc:Choice Requires="wps">
            <w:drawing>
              <wp:inline distT="0" distB="0" distL="0" distR="0" wp14:anchorId="6B1CDFA4" wp14:editId="4DBC7C55">
                <wp:extent cx="6157912" cy="1404620"/>
                <wp:effectExtent l="0" t="0" r="14605" b="266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36C139AE" w14:textId="747CE55C" w:rsidR="002D229A" w:rsidRPr="007711C3" w:rsidRDefault="002D229A" w:rsidP="002D229A">
                            <w:pPr>
                              <w:pStyle w:val="ListParagraph"/>
                              <w:numPr>
                                <w:ilvl w:val="0"/>
                                <w:numId w:val="28"/>
                              </w:numPr>
                              <w:ind w:left="284"/>
                              <w:rPr>
                                <w:rFonts w:ascii="Arial" w:hAnsi="Arial"/>
                                <w:lang w:eastAsia="zh-CN"/>
                              </w:rPr>
                            </w:pPr>
                            <w:r w:rsidRPr="002D229A">
                              <w:rPr>
                                <w:rFonts w:ascii="Arial" w:hAnsi="Arial"/>
                                <w:lang w:eastAsia="zh-CN"/>
                              </w:rPr>
                              <w:t>Reply to RAN3 that we will only do EN-DC. RAN2 understands that whether also supporting (NG)EN-DC has no additional RAN2 impact hence RAN3 can decide. If later we get time we can consider other options.</w:t>
                            </w:r>
                          </w:p>
                        </w:txbxContent>
                      </wps:txbx>
                      <wps:bodyPr rot="0" vert="horz" wrap="square" lIns="91440" tIns="45720" rIns="91440" bIns="45720" anchor="t" anchorCtr="0">
                        <a:spAutoFit/>
                      </wps:bodyPr>
                    </wps:wsp>
                  </a:graphicData>
                </a:graphic>
              </wp:inline>
            </w:drawing>
          </mc:Choice>
          <mc:Fallback>
            <w:pict>
              <v:shape w14:anchorId="6B1CDFA4" id="Text Box 3" o:spid="_x0000_s1031"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UyDFgIAACcEAAAOAAAAZHJzL2Uyb0RvYy54bWysk99v2yAQx98n7X9AvC+2oyRtrDpVly7T&#10;pO6H1O0POGMco2GOAYmd/fU7SJpG3fYyjQfEcfDl7nPHze3Ya7aXzis0FS8mOWfSCGyU2Vb829fN&#10;m2vOfADTgEYjK36Qnt+uXr+6GWwpp9ihbqRjJGJ8OdiKdyHYMsu86GQPfoJWGnK26HoIZLpt1jgY&#10;SL3X2TTPF9mArrEOhfSedu+PTr5K+m0rRfjctl4GpitOsYU0uzTXcc5WN1BuHdhOiVMY8A9R9KAM&#10;PXqWuocAbOfUb1K9Eg49tmEisM+wbZWQKQfKpshfZPPYgZUpF4Lj7RmT/3+y4tP+0X5xLIxvcaQC&#10;piS8fUDx3TOD6w7MVt45h0MnoaGHi4gsG6wvT1cjal/6KFIPH7GhIsMuYBIaW9dHKpQnI3UqwOEM&#10;XY6BCdpcFPOrZTHlTJCvmOWzxTSVJYPy6bp1PryX2LO4qLijqiZ52D/4EMOB8ulIfM2jVs1GaZ0M&#10;t63X2rE9UAds0kgZvDimDRsqvpxP50cCf5XI0/iTRK8CtbJWfcWvz4egjNzemSY1WgClj2sKWZsT&#10;yMjuSDGM9chUU/F5fCByrbE5EFmHx86ln0aLDt1Pzgbq2or7HztwkjP9wVB1lsVsFts8GbP5FaFk&#10;7tJTX3rACJKqeODsuFyH9DUSN3tHVdyoxPc5klPI1I0J++nnxHa/tNOp5/+9+gUAAP//AwBQSwME&#10;FAAGAAgAAAAhAHG++tfcAAAABQEAAA8AAABkcnMvZG93bnJldi54bWxMj8FOwzAQRO9I/IO1SNyo&#10;00gUGuJUiKpnSkFC3Db2No4ar0Pspilfj+ECl5VGM5p5W64m14mRhtB6VjCfZSCItTctNwreXjc3&#10;9yBCRDbYeSYFZwqwqi4vSiyMP/ELjbvYiFTCoUAFNsa+kDJoSw7DzPfEydv7wWFMcmikGfCUyl0n&#10;8yxbSIctpwWLPT1Z0ofd0SkI6+1nr/fb+mDN+et5Pd7q982HUtdX0+MDiEhT/AvDD35Chyox1f7I&#10;JohOQXok/t7kLRfLOxC1gjyf5yCrUv6nr74BAAD//wMAUEsBAi0AFAAGAAgAAAAhALaDOJL+AAAA&#10;4QEAABMAAAAAAAAAAAAAAAAAAAAAAFtDb250ZW50X1R5cGVzXS54bWxQSwECLQAUAAYACAAAACEA&#10;OP0h/9YAAACUAQAACwAAAAAAAAAAAAAAAAAvAQAAX3JlbHMvLnJlbHNQSwECLQAUAAYACAAAACEA&#10;Hu1MgxYCAAAnBAAADgAAAAAAAAAAAAAAAAAuAgAAZHJzL2Uyb0RvYy54bWxQSwECLQAUAAYACAAA&#10;ACEAcb7619wAAAAFAQAADwAAAAAAAAAAAAAAAABwBAAAZHJzL2Rvd25yZXYueG1sUEsFBgAAAAAE&#10;AAQA8wAAAHkFAAAAAA==&#10;">
                <v:textbox style="mso-fit-shape-to-text:t">
                  <w:txbxContent>
                    <w:p w14:paraId="36C139AE" w14:textId="747CE55C" w:rsidR="002D229A" w:rsidRPr="007711C3" w:rsidRDefault="002D229A" w:rsidP="002D229A">
                      <w:pPr>
                        <w:pStyle w:val="ListParagraph"/>
                        <w:numPr>
                          <w:ilvl w:val="0"/>
                          <w:numId w:val="28"/>
                        </w:numPr>
                        <w:ind w:left="284"/>
                        <w:rPr>
                          <w:rFonts w:ascii="Arial" w:hAnsi="Arial"/>
                          <w:lang w:eastAsia="zh-CN"/>
                        </w:rPr>
                      </w:pPr>
                      <w:r w:rsidRPr="002D229A">
                        <w:rPr>
                          <w:rFonts w:ascii="Arial" w:hAnsi="Arial"/>
                          <w:lang w:eastAsia="zh-CN"/>
                        </w:rPr>
                        <w:t>Reply to RAN3 that we will only do EN-DC. RAN2 understands that whether also supporting (NG)EN-DC has no additional RAN2 impact hence RAN3 can decide. If later we get time we can consider other options.</w:t>
                      </w:r>
                    </w:p>
                  </w:txbxContent>
                </v:textbox>
                <w10:anchorlock/>
              </v:shape>
            </w:pict>
          </mc:Fallback>
        </mc:AlternateContent>
      </w:r>
    </w:p>
    <w:p w14:paraId="7A190444" w14:textId="1BC87BA6" w:rsidR="002D229A" w:rsidRDefault="002D229A" w:rsidP="002D229A">
      <w:pPr>
        <w:rPr>
          <w:rFonts w:ascii="Arial" w:hAnsi="Arial"/>
          <w:lang w:eastAsia="zh-CN"/>
        </w:rPr>
      </w:pPr>
      <w:r>
        <w:rPr>
          <w:rFonts w:ascii="Arial" w:hAnsi="Arial"/>
          <w:lang w:eastAsia="zh-CN"/>
        </w:rPr>
        <w:t>I</w:t>
      </w:r>
      <w:r w:rsidRPr="002D229A">
        <w:rPr>
          <w:rFonts w:ascii="Arial" w:hAnsi="Arial"/>
          <w:lang w:eastAsia="zh-CN"/>
        </w:rPr>
        <w:t xml:space="preserve">n this section we analyse on the necessary requirements for the agreement and propose some additional enhancements of </w:t>
      </w:r>
      <w:r w:rsidRPr="00AC36EC">
        <w:rPr>
          <w:rFonts w:ascii="Arial" w:hAnsi="Arial"/>
          <w:i/>
          <w:iCs/>
          <w:lang w:eastAsia="zh-CN"/>
        </w:rPr>
        <w:t>SCGFailureInformation</w:t>
      </w:r>
      <w:r w:rsidR="001A3747">
        <w:rPr>
          <w:rFonts w:ascii="Arial" w:hAnsi="Arial"/>
          <w:i/>
          <w:iCs/>
          <w:lang w:eastAsia="zh-CN"/>
        </w:rPr>
        <w:t>NR.</w:t>
      </w:r>
    </w:p>
    <w:p w14:paraId="27449D04" w14:textId="755C92A7" w:rsidR="001A3747" w:rsidRDefault="00DC0A2E" w:rsidP="002D229A">
      <w:pPr>
        <w:rPr>
          <w:rFonts w:ascii="Arial" w:hAnsi="Arial"/>
          <w:lang w:eastAsia="zh-CN"/>
        </w:rPr>
      </w:pPr>
      <w:r>
        <w:rPr>
          <w:rFonts w:ascii="Arial" w:hAnsi="Arial"/>
          <w:lang w:eastAsia="zh-CN"/>
        </w:rPr>
        <w:t>The SCGFailureInformaitonNR message is used in EN-DC to inform LTE MCG regarding failure at the NR SCG. The message is copied below-</w:t>
      </w:r>
    </w:p>
    <w:p w14:paraId="6327CB23" w14:textId="77777777" w:rsidR="00DC0A2E" w:rsidRPr="00AC69DC" w:rsidRDefault="00DC0A2E" w:rsidP="00DC0A2E">
      <w:pPr>
        <w:pStyle w:val="TH"/>
        <w:rPr>
          <w:bCs/>
          <w:i/>
          <w:iCs/>
        </w:rPr>
      </w:pPr>
      <w:r w:rsidRPr="00AC69DC">
        <w:rPr>
          <w:bCs/>
          <w:i/>
          <w:iCs/>
          <w:noProof/>
        </w:rPr>
        <w:t>SCGFailureInformationNR message</w:t>
      </w:r>
    </w:p>
    <w:p w14:paraId="08A8E292" w14:textId="77777777" w:rsidR="00DC0A2E" w:rsidRPr="00AC69DC" w:rsidRDefault="00DC0A2E" w:rsidP="00DC0A2E">
      <w:pPr>
        <w:pStyle w:val="PL"/>
      </w:pPr>
      <w:r w:rsidRPr="00AC69DC">
        <w:t>-- ASN1START</w:t>
      </w:r>
    </w:p>
    <w:p w14:paraId="5208C13F" w14:textId="77777777" w:rsidR="00DC0A2E" w:rsidRPr="00AC69DC" w:rsidRDefault="00DC0A2E" w:rsidP="00DC0A2E">
      <w:pPr>
        <w:pStyle w:val="PL"/>
      </w:pPr>
    </w:p>
    <w:p w14:paraId="34EA6F4B" w14:textId="77777777" w:rsidR="00DC0A2E" w:rsidRPr="00AC69DC" w:rsidRDefault="00DC0A2E" w:rsidP="00DC0A2E">
      <w:pPr>
        <w:pStyle w:val="PL"/>
      </w:pPr>
      <w:r w:rsidRPr="00AC69DC">
        <w:t>SCGFailureInformationNR-r15 ::=</w:t>
      </w:r>
      <w:r w:rsidRPr="00AC69DC">
        <w:tab/>
      </w:r>
      <w:r w:rsidRPr="00AC69DC">
        <w:tab/>
        <w:t>SEQUENCE {</w:t>
      </w:r>
    </w:p>
    <w:p w14:paraId="20BC6F2F" w14:textId="77777777" w:rsidR="00DC0A2E" w:rsidRPr="00AC69DC" w:rsidRDefault="00DC0A2E" w:rsidP="00DC0A2E">
      <w:pPr>
        <w:pStyle w:val="PL"/>
      </w:pPr>
      <w:r w:rsidRPr="00AC69DC">
        <w:tab/>
        <w:t>criticalExtensions</w:t>
      </w:r>
      <w:r w:rsidRPr="00AC69DC">
        <w:tab/>
      </w:r>
      <w:r w:rsidRPr="00AC69DC">
        <w:tab/>
      </w:r>
      <w:r w:rsidRPr="00AC69DC">
        <w:tab/>
      </w:r>
      <w:r w:rsidRPr="00AC69DC">
        <w:tab/>
      </w:r>
      <w:r w:rsidRPr="00AC69DC">
        <w:tab/>
        <w:t>CHOICE {</w:t>
      </w:r>
    </w:p>
    <w:p w14:paraId="780216DE" w14:textId="77777777" w:rsidR="00DC0A2E" w:rsidRPr="00AC69DC" w:rsidRDefault="00DC0A2E" w:rsidP="00DC0A2E">
      <w:pPr>
        <w:pStyle w:val="PL"/>
      </w:pPr>
      <w:r w:rsidRPr="00AC69DC">
        <w:tab/>
      </w:r>
      <w:r w:rsidRPr="00AC69DC">
        <w:tab/>
        <w:t>c1</w:t>
      </w:r>
      <w:r w:rsidRPr="00AC69DC">
        <w:tab/>
      </w:r>
      <w:r w:rsidRPr="00AC69DC">
        <w:tab/>
      </w:r>
      <w:r w:rsidRPr="00AC69DC">
        <w:tab/>
      </w:r>
      <w:r w:rsidRPr="00AC69DC">
        <w:tab/>
      </w:r>
      <w:r w:rsidRPr="00AC69DC">
        <w:tab/>
      </w:r>
      <w:r w:rsidRPr="00AC69DC">
        <w:tab/>
      </w:r>
      <w:r w:rsidRPr="00AC69DC">
        <w:tab/>
      </w:r>
      <w:r w:rsidRPr="00AC69DC">
        <w:tab/>
      </w:r>
      <w:r w:rsidRPr="00AC69DC">
        <w:tab/>
        <w:t>CHOICE {</w:t>
      </w:r>
    </w:p>
    <w:p w14:paraId="033436B7" w14:textId="77777777" w:rsidR="00DC0A2E" w:rsidRPr="00AC69DC" w:rsidRDefault="00DC0A2E" w:rsidP="00DC0A2E">
      <w:pPr>
        <w:pStyle w:val="PL"/>
      </w:pPr>
      <w:r w:rsidRPr="00AC69DC">
        <w:tab/>
      </w:r>
      <w:r w:rsidRPr="00AC69DC">
        <w:tab/>
      </w:r>
      <w:r w:rsidRPr="00AC69DC">
        <w:tab/>
        <w:t>scgFailureInformationNR-r15</w:t>
      </w:r>
      <w:r w:rsidRPr="00AC69DC">
        <w:tab/>
      </w:r>
      <w:r w:rsidRPr="00AC69DC">
        <w:tab/>
      </w:r>
      <w:r w:rsidRPr="00AC69DC">
        <w:tab/>
        <w:t>SCGFailureInformationNR-r15-IEs,</w:t>
      </w:r>
    </w:p>
    <w:p w14:paraId="0523CBE6" w14:textId="77777777" w:rsidR="00DC0A2E" w:rsidRPr="00C843CF" w:rsidRDefault="00DC0A2E" w:rsidP="00DC0A2E">
      <w:pPr>
        <w:pStyle w:val="PL"/>
        <w:rPr>
          <w:lang w:val="sv-SE"/>
        </w:rPr>
      </w:pPr>
      <w:r w:rsidRPr="00AC69DC">
        <w:tab/>
      </w:r>
      <w:r w:rsidRPr="00AC69DC">
        <w:tab/>
      </w:r>
      <w:r w:rsidRPr="00AC69DC">
        <w:tab/>
      </w:r>
      <w:r w:rsidRPr="00C843CF">
        <w:rPr>
          <w:lang w:val="sv-SE"/>
        </w:rPr>
        <w:t>spare3 NULL, spare2 NULL, spare1 NULL</w:t>
      </w:r>
    </w:p>
    <w:p w14:paraId="4951D9A0" w14:textId="77777777" w:rsidR="00DC0A2E" w:rsidRPr="00AC69DC" w:rsidRDefault="00DC0A2E" w:rsidP="00DC0A2E">
      <w:pPr>
        <w:pStyle w:val="PL"/>
      </w:pPr>
      <w:r w:rsidRPr="00C843CF">
        <w:rPr>
          <w:lang w:val="sv-SE"/>
        </w:rPr>
        <w:tab/>
      </w:r>
      <w:r w:rsidRPr="00C843CF">
        <w:rPr>
          <w:lang w:val="sv-SE"/>
        </w:rPr>
        <w:tab/>
      </w:r>
      <w:r w:rsidRPr="00AC69DC">
        <w:t>},</w:t>
      </w:r>
    </w:p>
    <w:p w14:paraId="641699E4" w14:textId="77777777" w:rsidR="00DC0A2E" w:rsidRPr="00AC69DC" w:rsidRDefault="00DC0A2E" w:rsidP="00DC0A2E">
      <w:pPr>
        <w:pStyle w:val="PL"/>
      </w:pPr>
      <w:r w:rsidRPr="00AC69DC">
        <w:tab/>
      </w:r>
      <w:r w:rsidRPr="00AC69DC">
        <w:tab/>
        <w:t>criticalExtensionsFuture</w:t>
      </w:r>
      <w:r w:rsidRPr="00AC69DC">
        <w:tab/>
      </w:r>
      <w:r w:rsidRPr="00AC69DC">
        <w:tab/>
      </w:r>
      <w:r w:rsidRPr="00AC69DC">
        <w:tab/>
        <w:t>SEQUENCE {}</w:t>
      </w:r>
    </w:p>
    <w:p w14:paraId="521ABB62" w14:textId="77777777" w:rsidR="00DC0A2E" w:rsidRPr="00AC69DC" w:rsidRDefault="00DC0A2E" w:rsidP="00DC0A2E">
      <w:pPr>
        <w:pStyle w:val="PL"/>
      </w:pPr>
      <w:r w:rsidRPr="00AC69DC">
        <w:lastRenderedPageBreak/>
        <w:tab/>
        <w:t>}</w:t>
      </w:r>
    </w:p>
    <w:p w14:paraId="66938C98" w14:textId="77777777" w:rsidR="00DC0A2E" w:rsidRPr="00AC69DC" w:rsidRDefault="00DC0A2E" w:rsidP="00DC0A2E">
      <w:pPr>
        <w:pStyle w:val="PL"/>
      </w:pPr>
      <w:r w:rsidRPr="00AC69DC">
        <w:t>}</w:t>
      </w:r>
    </w:p>
    <w:p w14:paraId="458595EF" w14:textId="77777777" w:rsidR="00DC0A2E" w:rsidRPr="00AC69DC" w:rsidRDefault="00DC0A2E" w:rsidP="00DC0A2E">
      <w:pPr>
        <w:pStyle w:val="PL"/>
      </w:pPr>
    </w:p>
    <w:p w14:paraId="30D5CF30" w14:textId="77777777" w:rsidR="00DC0A2E" w:rsidRPr="00AC69DC" w:rsidRDefault="00DC0A2E" w:rsidP="00DC0A2E">
      <w:pPr>
        <w:pStyle w:val="PL"/>
      </w:pPr>
      <w:r w:rsidRPr="00AC69DC">
        <w:t>SCGFailureInformationNR-r15-IEs ::=</w:t>
      </w:r>
      <w:r w:rsidRPr="00AC69DC">
        <w:tab/>
        <w:t>SEQUENCE {</w:t>
      </w:r>
    </w:p>
    <w:p w14:paraId="157A245B" w14:textId="77777777" w:rsidR="00DC0A2E" w:rsidRPr="00AC69DC" w:rsidRDefault="00DC0A2E" w:rsidP="00DC0A2E">
      <w:pPr>
        <w:pStyle w:val="PL"/>
      </w:pPr>
      <w:r w:rsidRPr="00AC69DC">
        <w:tab/>
        <w:t>failureReportSCG-NR-r15</w:t>
      </w:r>
      <w:r w:rsidRPr="00AC69DC">
        <w:tab/>
      </w:r>
      <w:r w:rsidRPr="00AC69DC">
        <w:tab/>
      </w:r>
      <w:r w:rsidRPr="00AC69DC">
        <w:tab/>
      </w:r>
      <w:r w:rsidRPr="00AC69DC">
        <w:tab/>
        <w:t>FailureReportSCG-NR-r15</w:t>
      </w:r>
      <w:r w:rsidRPr="00AC69DC">
        <w:tab/>
      </w:r>
      <w:r w:rsidRPr="00AC69DC">
        <w:tab/>
      </w:r>
      <w:r w:rsidRPr="00AC69DC">
        <w:tab/>
      </w:r>
      <w:r w:rsidRPr="00AC69DC">
        <w:tab/>
        <w:t>OPTIONAL,</w:t>
      </w:r>
    </w:p>
    <w:p w14:paraId="09D16837" w14:textId="77777777" w:rsidR="00DC0A2E" w:rsidRPr="00AC69DC" w:rsidRDefault="00DC0A2E" w:rsidP="00DC0A2E">
      <w:pPr>
        <w:pStyle w:val="PL"/>
      </w:pPr>
      <w:r w:rsidRPr="00AC69DC">
        <w:tab/>
        <w:t>nonCriticalExtension</w:t>
      </w:r>
      <w:r w:rsidRPr="00AC69DC">
        <w:tab/>
      </w:r>
      <w:r w:rsidRPr="00AC69DC">
        <w:tab/>
      </w:r>
      <w:r w:rsidRPr="00AC69DC">
        <w:tab/>
      </w:r>
      <w:r w:rsidRPr="00AC69DC">
        <w:tab/>
      </w:r>
      <w:r w:rsidRPr="00AC69DC">
        <w:tab/>
        <w:t>SCGFailureInformationNR-v1590-IEs</w:t>
      </w:r>
      <w:r w:rsidRPr="00AC69DC">
        <w:tab/>
        <w:t>OPTIONAL</w:t>
      </w:r>
    </w:p>
    <w:p w14:paraId="4197BF73" w14:textId="77777777" w:rsidR="00DC0A2E" w:rsidRPr="00AC69DC" w:rsidRDefault="00DC0A2E" w:rsidP="00DC0A2E">
      <w:pPr>
        <w:pStyle w:val="PL"/>
      </w:pPr>
      <w:r w:rsidRPr="00AC69DC">
        <w:t>}</w:t>
      </w:r>
    </w:p>
    <w:p w14:paraId="759884D4" w14:textId="77777777" w:rsidR="00DC0A2E" w:rsidRPr="00AC69DC" w:rsidRDefault="00DC0A2E" w:rsidP="00DC0A2E">
      <w:pPr>
        <w:pStyle w:val="PL"/>
        <w:shd w:val="pct10" w:color="auto" w:fill="auto"/>
      </w:pPr>
    </w:p>
    <w:p w14:paraId="772CA1FD" w14:textId="77777777" w:rsidR="00DC0A2E" w:rsidRPr="00AC69DC" w:rsidRDefault="00DC0A2E" w:rsidP="00DC0A2E">
      <w:pPr>
        <w:pStyle w:val="PL"/>
      </w:pPr>
      <w:r w:rsidRPr="00AC69DC">
        <w:t>SCGFailureInformationNR-v1590-IEs ::=</w:t>
      </w:r>
      <w:r w:rsidRPr="00AC69DC">
        <w:tab/>
        <w:t>SEQUENCE {</w:t>
      </w:r>
    </w:p>
    <w:p w14:paraId="064F532F" w14:textId="77777777" w:rsidR="00DC0A2E" w:rsidRPr="00AC69DC" w:rsidRDefault="00DC0A2E" w:rsidP="00DC0A2E">
      <w:pPr>
        <w:pStyle w:val="PL"/>
      </w:pPr>
      <w:r w:rsidRPr="00AC69DC">
        <w:tab/>
        <w:t>lateNonCriticalExtension</w:t>
      </w:r>
      <w:r w:rsidRPr="00AC69DC">
        <w:tab/>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2C36F7AF" w14:textId="77777777" w:rsidR="00DC0A2E" w:rsidRPr="00AC69DC" w:rsidRDefault="00DC0A2E" w:rsidP="00DC0A2E">
      <w:pPr>
        <w:pStyle w:val="PL"/>
      </w:pPr>
      <w:r w:rsidRPr="00AC69DC">
        <w:tab/>
        <w:t>nonCriticalExtension</w:t>
      </w:r>
      <w:r w:rsidRPr="00AC69DC">
        <w:tab/>
      </w:r>
      <w:r w:rsidRPr="00AC69DC">
        <w:tab/>
      </w:r>
      <w:r w:rsidRPr="00AC69DC">
        <w:tab/>
      </w:r>
      <w:r w:rsidRPr="00AC69DC">
        <w:tab/>
      </w:r>
      <w:r w:rsidRPr="00AC69DC">
        <w:tab/>
      </w:r>
      <w:r w:rsidRPr="00AC69DC">
        <w:tab/>
        <w:t>SEQUENCE {}</w:t>
      </w:r>
      <w:r w:rsidRPr="00AC69DC">
        <w:tab/>
      </w:r>
      <w:r w:rsidRPr="00AC69DC">
        <w:tab/>
      </w:r>
      <w:r w:rsidRPr="00AC69DC">
        <w:tab/>
      </w:r>
      <w:r w:rsidRPr="00AC69DC">
        <w:tab/>
      </w:r>
      <w:r w:rsidRPr="00AC69DC">
        <w:tab/>
        <w:t>OPTIONAL</w:t>
      </w:r>
    </w:p>
    <w:p w14:paraId="53C8C499" w14:textId="77777777" w:rsidR="00DC0A2E" w:rsidRPr="00AC69DC" w:rsidRDefault="00DC0A2E" w:rsidP="00DC0A2E">
      <w:pPr>
        <w:pStyle w:val="PL"/>
      </w:pPr>
      <w:r w:rsidRPr="00AC69DC">
        <w:t>}</w:t>
      </w:r>
    </w:p>
    <w:p w14:paraId="582AFB1F" w14:textId="77777777" w:rsidR="00DC0A2E" w:rsidRPr="00AC69DC" w:rsidRDefault="00DC0A2E" w:rsidP="00DC0A2E">
      <w:pPr>
        <w:pStyle w:val="PL"/>
        <w:shd w:val="pct10" w:color="auto" w:fill="auto"/>
      </w:pPr>
    </w:p>
    <w:p w14:paraId="03F0B06D" w14:textId="77777777" w:rsidR="00DC0A2E" w:rsidRPr="00AC69DC" w:rsidRDefault="00DC0A2E" w:rsidP="00DC0A2E">
      <w:pPr>
        <w:pStyle w:val="PL"/>
        <w:shd w:val="pct10" w:color="auto" w:fill="auto"/>
      </w:pPr>
      <w:r w:rsidRPr="00AC69DC">
        <w:t>FailureReportSCG-NR-r15 ::=</w:t>
      </w:r>
      <w:r w:rsidRPr="00AC69DC">
        <w:tab/>
      </w:r>
      <w:r w:rsidRPr="00AC69DC">
        <w:tab/>
        <w:t>SEQUENCE {</w:t>
      </w:r>
    </w:p>
    <w:p w14:paraId="43AD091C" w14:textId="77777777" w:rsidR="00DC0A2E" w:rsidRPr="00AC69DC" w:rsidRDefault="00DC0A2E" w:rsidP="00DC0A2E">
      <w:pPr>
        <w:pStyle w:val="PL"/>
        <w:shd w:val="pct10" w:color="auto" w:fill="auto"/>
      </w:pPr>
      <w:r w:rsidRPr="00AC69DC">
        <w:tab/>
        <w:t>failureType-r15</w:t>
      </w:r>
      <w:r w:rsidRPr="00AC69DC">
        <w:tab/>
      </w:r>
      <w:r w:rsidRPr="00AC69DC">
        <w:tab/>
      </w:r>
      <w:r w:rsidRPr="00AC69DC">
        <w:tab/>
      </w:r>
      <w:r w:rsidRPr="00AC69DC">
        <w:tab/>
      </w:r>
      <w:r w:rsidRPr="00AC69DC">
        <w:tab/>
      </w:r>
      <w:r w:rsidRPr="00AC69DC">
        <w:tab/>
        <w:t>ENUMERATED {</w:t>
      </w:r>
    </w:p>
    <w:p w14:paraId="604343E6" w14:textId="77777777" w:rsidR="00DC0A2E" w:rsidRPr="00AC69DC" w:rsidRDefault="00DC0A2E" w:rsidP="00DC0A2E">
      <w:pPr>
        <w:pStyle w:val="PL"/>
        <w:shd w:val="pct10" w:color="auto" w:fill="auto"/>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t31</w:t>
      </w:r>
      <w:r w:rsidRPr="00AC69DC">
        <w:rPr>
          <w:rFonts w:eastAsia="MS Mincho"/>
        </w:rPr>
        <w:t>0</w:t>
      </w:r>
      <w:r w:rsidRPr="00AC69DC">
        <w:t>-Expiry, randomAccessProblem,</w:t>
      </w:r>
    </w:p>
    <w:p w14:paraId="0F90A866" w14:textId="77777777" w:rsidR="00DC0A2E" w:rsidRPr="00AC69DC" w:rsidRDefault="00DC0A2E" w:rsidP="00DC0A2E">
      <w:pPr>
        <w:pStyle w:val="PL"/>
        <w:shd w:val="pct10" w:color="auto" w:fill="auto"/>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rlc-MaxNumRetx,</w:t>
      </w:r>
    </w:p>
    <w:p w14:paraId="3B98FC5D" w14:textId="77777777" w:rsidR="00DC0A2E" w:rsidRPr="00AC69DC" w:rsidRDefault="00DC0A2E" w:rsidP="00DC0A2E">
      <w:pPr>
        <w:pStyle w:val="PL"/>
        <w:shd w:val="pct10" w:color="auto" w:fill="auto"/>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rPr>
          <w:szCs w:val="22"/>
          <w:lang w:eastAsia="ko-KR"/>
        </w:rPr>
        <w:t>synchReconfigFailureSCG</w:t>
      </w:r>
      <w:r w:rsidRPr="00AC69DC">
        <w:t>, scg-reconfigFailure,</w:t>
      </w:r>
    </w:p>
    <w:p w14:paraId="7716552C" w14:textId="77777777" w:rsidR="00DC0A2E" w:rsidRPr="00AC69DC" w:rsidRDefault="00DC0A2E" w:rsidP="00DC0A2E">
      <w:pPr>
        <w:pStyle w:val="PL"/>
        <w:shd w:val="pct10" w:color="auto" w:fill="auto"/>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srb3-IntegrityFailure, dummy},</w:t>
      </w:r>
    </w:p>
    <w:p w14:paraId="2ECE6D93" w14:textId="77777777" w:rsidR="00DC0A2E" w:rsidRPr="00AC69DC" w:rsidRDefault="00DC0A2E" w:rsidP="00DC0A2E">
      <w:pPr>
        <w:pStyle w:val="PL"/>
        <w:shd w:val="pct10" w:color="auto" w:fill="auto"/>
      </w:pPr>
      <w:r w:rsidRPr="00AC69DC">
        <w:tab/>
        <w:t>measResultFreqListNR-r15</w:t>
      </w:r>
      <w:r w:rsidRPr="00AC69DC">
        <w:tab/>
      </w:r>
      <w:r w:rsidRPr="00AC69DC">
        <w:tab/>
      </w:r>
      <w:r w:rsidRPr="00AC69DC">
        <w:tab/>
      </w:r>
      <w:r w:rsidRPr="00AC69DC">
        <w:tab/>
        <w:t>MeasResultFreqListFailNR-r15</w:t>
      </w:r>
      <w:r w:rsidRPr="00AC69DC">
        <w:tab/>
      </w:r>
      <w:r w:rsidRPr="00AC69DC">
        <w:tab/>
        <w:t>OPTIONAL,</w:t>
      </w:r>
    </w:p>
    <w:p w14:paraId="404E6C28" w14:textId="77777777" w:rsidR="00DC0A2E" w:rsidRPr="00AC69DC" w:rsidRDefault="00DC0A2E" w:rsidP="00DC0A2E">
      <w:pPr>
        <w:pStyle w:val="PL"/>
        <w:shd w:val="pct10" w:color="auto" w:fill="auto"/>
      </w:pPr>
      <w:r w:rsidRPr="00AC69DC">
        <w:tab/>
        <w:t>measResultSCG-r15</w:t>
      </w:r>
      <w:r w:rsidRPr="00AC69DC">
        <w:tab/>
      </w:r>
      <w:r w:rsidRPr="00AC69DC">
        <w:tab/>
      </w:r>
      <w:r w:rsidRPr="00AC69DC">
        <w:tab/>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1B980683" w14:textId="77777777" w:rsidR="00DC0A2E" w:rsidRPr="00AC69DC" w:rsidRDefault="00DC0A2E" w:rsidP="00DC0A2E">
      <w:pPr>
        <w:pStyle w:val="PL"/>
        <w:shd w:val="pct10" w:color="auto" w:fill="auto"/>
      </w:pPr>
      <w:r w:rsidRPr="00AC69DC">
        <w:tab/>
        <w:t>...,</w:t>
      </w:r>
    </w:p>
    <w:p w14:paraId="323E8A1C" w14:textId="77777777" w:rsidR="00DC0A2E" w:rsidRPr="00AC69DC" w:rsidRDefault="00DC0A2E" w:rsidP="00DC0A2E">
      <w:pPr>
        <w:pStyle w:val="PL"/>
        <w:shd w:val="pct10" w:color="auto" w:fill="auto"/>
      </w:pPr>
      <w:r w:rsidRPr="00AC69DC">
        <w:tab/>
        <w:t>[[</w:t>
      </w:r>
      <w:r w:rsidRPr="00AC69DC">
        <w:tab/>
        <w:t>locationInfo-r16</w:t>
      </w:r>
      <w:r w:rsidRPr="00AC69DC">
        <w:tab/>
      </w:r>
      <w:r w:rsidRPr="00AC69DC">
        <w:tab/>
      </w:r>
      <w:r w:rsidRPr="00AC69DC">
        <w:tab/>
      </w:r>
      <w:r w:rsidRPr="00AC69DC">
        <w:tab/>
        <w:t>LocationInfo-r10</w:t>
      </w:r>
      <w:r w:rsidRPr="00AC69DC">
        <w:tab/>
      </w:r>
      <w:r w:rsidRPr="00AC69DC">
        <w:tab/>
      </w:r>
      <w:r w:rsidRPr="00AC69DC">
        <w:tab/>
      </w:r>
      <w:r w:rsidRPr="00AC69DC">
        <w:tab/>
      </w:r>
      <w:r w:rsidRPr="00AC69DC">
        <w:tab/>
      </w:r>
      <w:r w:rsidRPr="00AC69DC">
        <w:tab/>
        <w:t>OPTIONAL,</w:t>
      </w:r>
    </w:p>
    <w:p w14:paraId="244528B1" w14:textId="77777777" w:rsidR="00DC0A2E" w:rsidRPr="00AC69DC" w:rsidRDefault="00DC0A2E" w:rsidP="00DC0A2E">
      <w:pPr>
        <w:pStyle w:val="PL"/>
      </w:pPr>
      <w:r w:rsidRPr="00AC69DC">
        <w:tab/>
      </w:r>
      <w:r w:rsidRPr="00AC69DC">
        <w:tab/>
        <w:t>logMeasResultListBT-r16</w:t>
      </w:r>
      <w:r w:rsidRPr="00AC69DC">
        <w:tab/>
      </w:r>
      <w:r w:rsidRPr="00AC69DC">
        <w:tab/>
      </w:r>
      <w:r w:rsidRPr="00AC69DC">
        <w:tab/>
        <w:t>LogMeasResultListBT-r15</w:t>
      </w:r>
      <w:r w:rsidRPr="00AC69DC">
        <w:tab/>
      </w:r>
      <w:r w:rsidRPr="00AC69DC">
        <w:tab/>
      </w:r>
      <w:r w:rsidRPr="00AC69DC">
        <w:tab/>
      </w:r>
      <w:r w:rsidRPr="00AC69DC">
        <w:tab/>
      </w:r>
      <w:r w:rsidRPr="00AC69DC">
        <w:tab/>
        <w:t>OPTIONAL,</w:t>
      </w:r>
    </w:p>
    <w:p w14:paraId="0C36E3F3" w14:textId="77777777" w:rsidR="00DC0A2E" w:rsidRPr="00AC69DC" w:rsidRDefault="00DC0A2E" w:rsidP="00DC0A2E">
      <w:pPr>
        <w:pStyle w:val="PL"/>
      </w:pPr>
      <w:r w:rsidRPr="00AC69DC">
        <w:tab/>
      </w:r>
      <w:r w:rsidRPr="00AC69DC">
        <w:tab/>
        <w:t>logMeasResultListWLAN-r16</w:t>
      </w:r>
      <w:r w:rsidRPr="00AC69DC">
        <w:tab/>
      </w:r>
      <w:r w:rsidRPr="00AC69DC">
        <w:tab/>
        <w:t>LogMeasResultListWLAN-r15</w:t>
      </w:r>
      <w:r w:rsidRPr="00AC69DC">
        <w:tab/>
      </w:r>
      <w:r w:rsidRPr="00AC69DC">
        <w:tab/>
      </w:r>
      <w:r w:rsidRPr="00AC69DC">
        <w:tab/>
      </w:r>
      <w:r w:rsidRPr="00AC69DC">
        <w:tab/>
        <w:t>OPTIONAL,</w:t>
      </w:r>
    </w:p>
    <w:p w14:paraId="30D385FE" w14:textId="77777777" w:rsidR="00DC0A2E" w:rsidRPr="00AC69DC" w:rsidRDefault="00DC0A2E" w:rsidP="00DC0A2E">
      <w:pPr>
        <w:pStyle w:val="PL"/>
        <w:shd w:val="pct10" w:color="auto" w:fill="auto"/>
      </w:pPr>
      <w:r w:rsidRPr="00AC69DC">
        <w:tab/>
      </w:r>
      <w:r w:rsidRPr="00AC69DC">
        <w:tab/>
        <w:t>failureType-v1610</w:t>
      </w:r>
      <w:r w:rsidRPr="00AC69DC">
        <w:tab/>
      </w:r>
      <w:r w:rsidRPr="00AC69DC">
        <w:tab/>
      </w:r>
      <w:r w:rsidRPr="00AC69DC">
        <w:tab/>
      </w:r>
      <w:r w:rsidRPr="00AC69DC">
        <w:tab/>
        <w:t>ENUMERATED {t312-Expiry, scg-lbtFailure,</w:t>
      </w:r>
    </w:p>
    <w:p w14:paraId="3DC83B43" w14:textId="77777777" w:rsidR="00DC0A2E" w:rsidRPr="00AC69DC" w:rsidRDefault="00DC0A2E" w:rsidP="00DC0A2E">
      <w:pPr>
        <w:pStyle w:val="PL"/>
        <w:shd w:val="pct10" w:color="auto" w:fill="auto"/>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rPr>
          <w:lang w:eastAsia="en-GB"/>
        </w:rPr>
        <w:t>beamFailureRecoveryFailure</w:t>
      </w:r>
      <w:r w:rsidRPr="00AC69DC">
        <w:t>, bh-RLF-r16,</w:t>
      </w:r>
    </w:p>
    <w:p w14:paraId="459658F3" w14:textId="77777777" w:rsidR="00DC0A2E" w:rsidRPr="00AC69DC" w:rsidRDefault="00DC0A2E" w:rsidP="00DC0A2E">
      <w:pPr>
        <w:pStyle w:val="PL"/>
        <w:shd w:val="pct10" w:color="auto" w:fill="auto"/>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beamFailure-r17,</w:t>
      </w:r>
    </w:p>
    <w:p w14:paraId="33DF336D" w14:textId="77777777" w:rsidR="00DC0A2E" w:rsidRPr="00AC69DC" w:rsidRDefault="00DC0A2E" w:rsidP="00DC0A2E">
      <w:pPr>
        <w:pStyle w:val="PL"/>
        <w:shd w:val="pct10" w:color="auto" w:fill="auto"/>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spare3, spare2, spare1}</w:t>
      </w:r>
      <w:r w:rsidRPr="00AC69DC">
        <w:tab/>
        <w:t>OPTIONAL</w:t>
      </w:r>
    </w:p>
    <w:p w14:paraId="14C4AB93" w14:textId="77777777" w:rsidR="00DC0A2E" w:rsidRPr="00AC69DC" w:rsidRDefault="00DC0A2E" w:rsidP="00DC0A2E">
      <w:pPr>
        <w:pStyle w:val="PL"/>
        <w:shd w:val="pct10" w:color="auto" w:fill="auto"/>
      </w:pPr>
      <w:r w:rsidRPr="00AC69DC">
        <w:tab/>
        <w:t>]]</w:t>
      </w:r>
    </w:p>
    <w:p w14:paraId="57F6EB1C" w14:textId="77777777" w:rsidR="00DC0A2E" w:rsidRPr="00AC69DC" w:rsidRDefault="00DC0A2E" w:rsidP="00DC0A2E">
      <w:pPr>
        <w:pStyle w:val="PL"/>
        <w:shd w:val="pct10" w:color="auto" w:fill="auto"/>
      </w:pPr>
      <w:r w:rsidRPr="00AC69DC">
        <w:t>}</w:t>
      </w:r>
    </w:p>
    <w:p w14:paraId="36A680AB" w14:textId="77777777" w:rsidR="00DC0A2E" w:rsidRPr="00AC69DC" w:rsidRDefault="00DC0A2E" w:rsidP="00DC0A2E">
      <w:pPr>
        <w:pStyle w:val="PL"/>
        <w:shd w:val="pct10" w:color="auto" w:fill="auto"/>
      </w:pPr>
    </w:p>
    <w:p w14:paraId="2CA2DE63" w14:textId="77777777" w:rsidR="00DC0A2E" w:rsidRPr="00AC69DC" w:rsidRDefault="00DC0A2E" w:rsidP="00DC0A2E">
      <w:pPr>
        <w:pStyle w:val="PL"/>
        <w:shd w:val="pct10" w:color="auto" w:fill="auto"/>
      </w:pPr>
      <w:r w:rsidRPr="00AC69DC">
        <w:t>MeasResultFreqListFailNR-r15 ::=</w:t>
      </w:r>
      <w:r w:rsidRPr="00AC69DC">
        <w:tab/>
        <w:t>SEQUENCE (SIZE (1..maxFreqNR-r15)) OF MeasResultFreqFailNR-r15</w:t>
      </w:r>
    </w:p>
    <w:p w14:paraId="7F3A53A1" w14:textId="77777777" w:rsidR="00DC0A2E" w:rsidRPr="00AC69DC" w:rsidRDefault="00DC0A2E" w:rsidP="00DC0A2E">
      <w:pPr>
        <w:pStyle w:val="PL"/>
        <w:shd w:val="pct10" w:color="auto" w:fill="auto"/>
      </w:pPr>
    </w:p>
    <w:p w14:paraId="7BA73541" w14:textId="77777777" w:rsidR="00DC0A2E" w:rsidRPr="00AC69DC" w:rsidRDefault="00DC0A2E" w:rsidP="00DC0A2E">
      <w:pPr>
        <w:pStyle w:val="PL"/>
        <w:shd w:val="pct10" w:color="auto" w:fill="auto"/>
      </w:pPr>
      <w:r w:rsidRPr="00AC69DC">
        <w:t>MeasResultFreqFailNR-r15 ::=</w:t>
      </w:r>
      <w:r w:rsidRPr="00AC69DC">
        <w:tab/>
      </w:r>
      <w:r w:rsidRPr="00AC69DC">
        <w:tab/>
        <w:t>SEQUENCE {</w:t>
      </w:r>
    </w:p>
    <w:p w14:paraId="58B302DC" w14:textId="77777777" w:rsidR="00DC0A2E" w:rsidRPr="00AC69DC" w:rsidRDefault="00DC0A2E" w:rsidP="00DC0A2E">
      <w:pPr>
        <w:pStyle w:val="PL"/>
        <w:shd w:val="pct10" w:color="auto" w:fill="auto"/>
      </w:pPr>
      <w:r w:rsidRPr="00AC69DC">
        <w:tab/>
        <w:t>carrierFreq-r15</w:t>
      </w:r>
      <w:r w:rsidRPr="00AC69DC">
        <w:tab/>
      </w:r>
      <w:r w:rsidRPr="00AC69DC">
        <w:tab/>
      </w:r>
      <w:r w:rsidRPr="00AC69DC">
        <w:tab/>
      </w:r>
      <w:r w:rsidRPr="00AC69DC">
        <w:tab/>
      </w:r>
      <w:r w:rsidRPr="00AC69DC">
        <w:tab/>
      </w:r>
      <w:r w:rsidRPr="00AC69DC">
        <w:tab/>
        <w:t>ARFCN-ValueNR-r15,</w:t>
      </w:r>
    </w:p>
    <w:p w14:paraId="6681A2B0" w14:textId="77777777" w:rsidR="00DC0A2E" w:rsidRPr="00AC69DC" w:rsidRDefault="00DC0A2E" w:rsidP="00DC0A2E">
      <w:pPr>
        <w:pStyle w:val="PL"/>
        <w:shd w:val="pct10" w:color="auto" w:fill="auto"/>
      </w:pPr>
      <w:r w:rsidRPr="00AC69DC">
        <w:tab/>
        <w:t>measResultCellList-r15</w:t>
      </w:r>
      <w:r w:rsidRPr="00AC69DC">
        <w:tab/>
      </w:r>
      <w:r w:rsidRPr="00AC69DC">
        <w:tab/>
      </w:r>
      <w:r w:rsidRPr="00AC69DC">
        <w:tab/>
      </w:r>
      <w:r w:rsidRPr="00AC69DC">
        <w:tab/>
        <w:t>MeasResultCellListNR-r15</w:t>
      </w:r>
      <w:r w:rsidRPr="00AC69DC">
        <w:tab/>
      </w:r>
      <w:r w:rsidRPr="00AC69DC">
        <w:tab/>
      </w:r>
      <w:r w:rsidRPr="00AC69DC">
        <w:tab/>
        <w:t>OPTIONAL,</w:t>
      </w:r>
    </w:p>
    <w:p w14:paraId="164B21F1" w14:textId="77777777" w:rsidR="00DC0A2E" w:rsidRPr="00AC69DC" w:rsidRDefault="00DC0A2E" w:rsidP="00DC0A2E">
      <w:pPr>
        <w:pStyle w:val="PL"/>
        <w:shd w:val="pct10" w:color="auto" w:fill="auto"/>
      </w:pPr>
      <w:r w:rsidRPr="00AC69DC">
        <w:tab/>
        <w:t>...</w:t>
      </w:r>
    </w:p>
    <w:p w14:paraId="5B61D285" w14:textId="77777777" w:rsidR="00DC0A2E" w:rsidRPr="00AC69DC" w:rsidRDefault="00DC0A2E" w:rsidP="00DC0A2E">
      <w:pPr>
        <w:pStyle w:val="PL"/>
        <w:shd w:val="pct10" w:color="auto" w:fill="auto"/>
      </w:pPr>
      <w:r w:rsidRPr="00AC69DC">
        <w:t>}</w:t>
      </w:r>
    </w:p>
    <w:p w14:paraId="52D62C74" w14:textId="77777777" w:rsidR="00DC0A2E" w:rsidRPr="00AC69DC" w:rsidRDefault="00DC0A2E" w:rsidP="00DC0A2E">
      <w:pPr>
        <w:pStyle w:val="PL"/>
        <w:shd w:val="pct10" w:color="auto" w:fill="auto"/>
      </w:pPr>
    </w:p>
    <w:p w14:paraId="7D744CCE" w14:textId="77777777" w:rsidR="00DC0A2E" w:rsidRPr="00AC69DC" w:rsidRDefault="00DC0A2E" w:rsidP="00DC0A2E">
      <w:pPr>
        <w:pStyle w:val="PL"/>
      </w:pPr>
      <w:r w:rsidRPr="00AC69DC">
        <w:t>-- ASN1STOP</w:t>
      </w:r>
    </w:p>
    <w:p w14:paraId="33F801B6" w14:textId="77777777" w:rsidR="00DC0A2E" w:rsidRDefault="00DC0A2E" w:rsidP="002D229A">
      <w:pPr>
        <w:rPr>
          <w:rFonts w:ascii="Arial" w:hAnsi="Arial"/>
          <w:lang w:eastAsia="zh-CN"/>
        </w:rPr>
      </w:pPr>
    </w:p>
    <w:p w14:paraId="3465941F" w14:textId="591AA1AA" w:rsidR="00857113" w:rsidRDefault="00857113" w:rsidP="002D229A">
      <w:pPr>
        <w:rPr>
          <w:rFonts w:ascii="Arial" w:hAnsi="Arial"/>
          <w:lang w:eastAsia="zh-CN"/>
        </w:rPr>
      </w:pPr>
      <w:r>
        <w:rPr>
          <w:rFonts w:ascii="Arial" w:hAnsi="Arial"/>
          <w:lang w:eastAsia="zh-CN"/>
        </w:rPr>
        <w:t xml:space="preserve">In NR </w:t>
      </w:r>
      <w:r w:rsidRPr="00857113">
        <w:rPr>
          <w:rFonts w:ascii="Arial" w:hAnsi="Arial"/>
          <w:i/>
          <w:iCs/>
          <w:lang w:eastAsia="zh-CN"/>
        </w:rPr>
        <w:t>SCGFailureInformation</w:t>
      </w:r>
      <w:r>
        <w:rPr>
          <w:rFonts w:ascii="Arial" w:hAnsi="Arial"/>
          <w:lang w:eastAsia="zh-CN"/>
        </w:rPr>
        <w:t xml:space="preserve"> message, UE includes both failed PSCell ID and previous PSCell ID information. The purpose of which is to assist MN to perform fast analysis of the problem and perform any recovery. However, such information is not present in </w:t>
      </w:r>
      <w:r>
        <w:rPr>
          <w:rFonts w:ascii="Arial" w:hAnsi="Arial"/>
          <w:i/>
          <w:iCs/>
          <w:lang w:eastAsia="zh-CN"/>
        </w:rPr>
        <w:t>SCGFailureInformationNR</w:t>
      </w:r>
      <w:r>
        <w:rPr>
          <w:rFonts w:ascii="Arial" w:hAnsi="Arial"/>
          <w:lang w:eastAsia="zh-CN"/>
        </w:rPr>
        <w:t xml:space="preserve"> message. Hence, we propose to include this information.</w:t>
      </w:r>
    </w:p>
    <w:p w14:paraId="0110C910" w14:textId="426058AC" w:rsidR="00857113" w:rsidRDefault="00857113" w:rsidP="00857113">
      <w:pPr>
        <w:pStyle w:val="Proposal"/>
      </w:pPr>
      <w:bookmarkStart w:id="29" w:name="_Toc174054159"/>
      <w:r>
        <w:t xml:space="preserve">To enhance SCG failure information sent in EN-DC, </w:t>
      </w:r>
      <w:r w:rsidRPr="006B2D50">
        <w:t xml:space="preserve">UE includes </w:t>
      </w:r>
      <w:r>
        <w:t xml:space="preserve">failed PSCell ID and previous PSCell ID in the </w:t>
      </w:r>
      <w:r>
        <w:rPr>
          <w:i/>
          <w:iCs/>
        </w:rPr>
        <w:t>SCGFailureInformationNR</w:t>
      </w:r>
      <w:r>
        <w:t xml:space="preserve"> message</w:t>
      </w:r>
      <w:r w:rsidR="008B45E2">
        <w:t>.</w:t>
      </w:r>
      <w:bookmarkEnd w:id="29"/>
    </w:p>
    <w:p w14:paraId="681E589F" w14:textId="77777777" w:rsidR="00857113" w:rsidRPr="00857113" w:rsidRDefault="00857113" w:rsidP="002D229A">
      <w:pPr>
        <w:rPr>
          <w:rFonts w:ascii="Arial" w:hAnsi="Arial"/>
          <w:lang w:eastAsia="zh-CN"/>
        </w:rPr>
      </w:pPr>
    </w:p>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43BC217" w14:textId="26B0CAC6" w:rsidR="00E670F8" w:rsidRDefault="006F65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54144" w:history="1">
        <w:r w:rsidR="00E670F8" w:rsidRPr="00455819">
          <w:rPr>
            <w:rStyle w:val="Hyperlink"/>
            <w:noProof/>
          </w:rPr>
          <w:t>Observation 1</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455819">
          <w:rPr>
            <w:rStyle w:val="Hyperlink"/>
            <w:noProof/>
          </w:rPr>
          <w:t>SCG activation and deactivation was introduced in Rel-17.</w:t>
        </w:r>
      </w:hyperlink>
    </w:p>
    <w:p w14:paraId="1391C9A5" w14:textId="653CE2E2"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45" w:history="1">
        <w:r w:rsidR="00E670F8" w:rsidRPr="00455819">
          <w:rPr>
            <w:rStyle w:val="Hyperlink"/>
            <w:noProof/>
          </w:rPr>
          <w:t>Observation 2</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455819">
          <w:rPr>
            <w:rStyle w:val="Hyperlink"/>
            <w:noProof/>
          </w:rPr>
          <w:t>There is no possibility to see from the Mobility History Information whether the SCG state was set to activated or deactivated.</w:t>
        </w:r>
      </w:hyperlink>
    </w:p>
    <w:p w14:paraId="5AF177E3" w14:textId="7B00196E"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46" w:history="1">
        <w:r w:rsidR="00E670F8" w:rsidRPr="00455819">
          <w:rPr>
            <w:rStyle w:val="Hyperlink"/>
            <w:noProof/>
          </w:rPr>
          <w:t>Observation 3</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455819">
          <w:rPr>
            <w:rStyle w:val="Hyperlink"/>
            <w:noProof/>
          </w:rPr>
          <w:t>Understanding the usage of secondary cells is of importance for understanding in which situations there will be a gain from setting up a secondary cell.</w:t>
        </w:r>
      </w:hyperlink>
    </w:p>
    <w:p w14:paraId="7C911B19" w14:textId="2243C3CD"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47" w:history="1">
        <w:r w:rsidR="00E670F8" w:rsidRPr="00455819">
          <w:rPr>
            <w:rStyle w:val="Hyperlink"/>
            <w:noProof/>
          </w:rPr>
          <w:t>Observation 4</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455819">
          <w:rPr>
            <w:rStyle w:val="Hyperlink"/>
            <w:noProof/>
          </w:rPr>
          <w:t>From the RAN2#126 agreements, if the UE includes buffered uplink data volume and downlink RSRP information in the RA information, then the network can implicitly deduce that the UE tried to perform SDT, irrespective of whether the UE eventually used RA-SDT or common RACH resources.</w:t>
        </w:r>
      </w:hyperlink>
    </w:p>
    <w:p w14:paraId="65C993E7" w14:textId="5718550B"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48" w:history="1">
        <w:r w:rsidR="00E670F8" w:rsidRPr="00455819">
          <w:rPr>
            <w:rStyle w:val="Hyperlink"/>
            <w:noProof/>
          </w:rPr>
          <w:t>Observation 5</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455819">
          <w:rPr>
            <w:rStyle w:val="Hyperlink"/>
            <w:noProof/>
          </w:rPr>
          <w:t>The following remains unclear to network:</w:t>
        </w:r>
      </w:hyperlink>
    </w:p>
    <w:p w14:paraId="013BEEA5" w14:textId="5B8293C4"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49" w:history="1">
        <w:r w:rsidR="00E670F8" w:rsidRPr="00455819">
          <w:rPr>
            <w:rStyle w:val="Hyperlink"/>
            <w:noProof/>
          </w:rPr>
          <w:t>a.</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455819">
          <w:rPr>
            <w:rStyle w:val="Hyperlink"/>
            <w:noProof/>
          </w:rPr>
          <w:t>The UE evaluates RA-SDT and/or CG-SDT, but if falls back to common RACH resources due to the RSRP-based condition or the data volume-based condition or CG-based conditions not being fulfilled.</w:t>
        </w:r>
      </w:hyperlink>
    </w:p>
    <w:p w14:paraId="733EEEBB" w14:textId="2AD93851"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50" w:history="1">
        <w:r w:rsidR="00E670F8" w:rsidRPr="00455819">
          <w:rPr>
            <w:rStyle w:val="Hyperlink"/>
            <w:noProof/>
          </w:rPr>
          <w:t>b.</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455819">
          <w:rPr>
            <w:rStyle w:val="Hyperlink"/>
            <w:noProof/>
          </w:rPr>
          <w:t>The RSRP-based condition and the data volume-based conditions are fulfilled, the UE evaluates CG-SDT, but it falls back to RA-SDT, due to CG-based conditions not being fulfilled.</w:t>
        </w:r>
      </w:hyperlink>
    </w:p>
    <w:p w14:paraId="50595E04" w14:textId="70E362CC"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51" w:history="1">
        <w:r w:rsidR="00E670F8" w:rsidRPr="00455819">
          <w:rPr>
            <w:rStyle w:val="Hyperlink"/>
            <w:noProof/>
          </w:rPr>
          <w:t>Observation 6</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455819">
          <w:rPr>
            <w:rStyle w:val="Hyperlink"/>
            <w:noProof/>
          </w:rPr>
          <w:t>A UE may fail to initiate CG-SDT and perform RA-SDT causing overload of RA-SDT resource utilization, or it may fail to initiate CG-SDT or RA-SDT and perform RA in common RACH resources.</w:t>
        </w:r>
      </w:hyperlink>
    </w:p>
    <w:p w14:paraId="7570C759" w14:textId="0F789BFE"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30" w:name="_In-sequence_SDU_delivery"/>
    <w:bookmarkEnd w:id="30"/>
    <w:p w14:paraId="6ACADC60" w14:textId="2D15A854" w:rsidR="00E670F8"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54152" w:history="1">
        <w:r w:rsidR="00E670F8" w:rsidRPr="00BD5E46">
          <w:rPr>
            <w:rStyle w:val="Hyperlink"/>
            <w:noProof/>
          </w:rPr>
          <w:t>Proposal 1</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BD5E46">
          <w:rPr>
            <w:rStyle w:val="Hyperlink"/>
            <w:noProof/>
          </w:rPr>
          <w:t>For each PSCell entry of the MHI, log the accumulated time with SCG state set to deactivated during the stay in the PSCell.</w:t>
        </w:r>
      </w:hyperlink>
    </w:p>
    <w:p w14:paraId="03754B8F" w14:textId="74BEEFB4"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53" w:history="1">
        <w:r w:rsidR="00E670F8" w:rsidRPr="00BD5E46">
          <w:rPr>
            <w:rStyle w:val="Hyperlink"/>
            <w:noProof/>
          </w:rPr>
          <w:t>Proposal 2</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BD5E46">
          <w:rPr>
            <w:rStyle w:val="Hyperlink"/>
            <w:noProof/>
          </w:rPr>
          <w:t>If the UE evaluated to perform SDT, and common RACH resources were used (i.e. conditions for initiating RA-SDT or CG-SDT were not fulfilled), the UE indicates in the RA-Report whether RA-SDT and/or CG-SDT initiation was evaluated.</w:t>
        </w:r>
      </w:hyperlink>
    </w:p>
    <w:p w14:paraId="45E06A04" w14:textId="55DF78DD"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54" w:history="1">
        <w:r w:rsidR="00E670F8" w:rsidRPr="00BD5E46">
          <w:rPr>
            <w:rStyle w:val="Hyperlink"/>
            <w:noProof/>
          </w:rPr>
          <w:t>Proposal 3</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BD5E46">
          <w:rPr>
            <w:rStyle w:val="Hyperlink"/>
            <w:noProof/>
          </w:rPr>
          <w:t>If the UE evaluated to perform CG-SDT, and RA-SDT resources were used (i.e. conditions for initiating CG-SDT not fulfilled), the UE indicates in the RA-Report that CG-SDT initiation was evaluated.</w:t>
        </w:r>
      </w:hyperlink>
    </w:p>
    <w:p w14:paraId="4D4FF6B7" w14:textId="3E40062F"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55" w:history="1">
        <w:r w:rsidR="00E670F8" w:rsidRPr="00BD5E46">
          <w:rPr>
            <w:rStyle w:val="Hyperlink"/>
            <w:noProof/>
          </w:rPr>
          <w:t>Proposal 4</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BD5E46">
          <w:rPr>
            <w:rStyle w:val="Hyperlink"/>
            <w:noProof/>
          </w:rPr>
          <w:t>RAN2 to further discuss whether to include in the RA-Report information related to the cause of CG-SDT evaluation failure prior to the random access procedure.</w:t>
        </w:r>
      </w:hyperlink>
    </w:p>
    <w:p w14:paraId="0FB8AD77" w14:textId="046D2740"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56" w:history="1">
        <w:r w:rsidR="00E670F8" w:rsidRPr="00BD5E46">
          <w:rPr>
            <w:rStyle w:val="Hyperlink"/>
            <w:noProof/>
          </w:rPr>
          <w:t>Proposal 5</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BD5E46">
          <w:rPr>
            <w:rStyle w:val="Hyperlink"/>
            <w:noProof/>
          </w:rPr>
          <w:t>The UE includes in the RA-Report the SDT failure causes, i.e. the ones specified in TS 38.300 Section 18.0.</w:t>
        </w:r>
      </w:hyperlink>
    </w:p>
    <w:p w14:paraId="3AE35FAF" w14:textId="6C7992AF"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57" w:history="1">
        <w:r w:rsidR="00E670F8" w:rsidRPr="00BD5E46">
          <w:rPr>
            <w:rStyle w:val="Hyperlink"/>
            <w:noProof/>
          </w:rPr>
          <w:t>Proposal 6</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BD5E46">
          <w:rPr>
            <w:rStyle w:val="Hyperlink"/>
            <w:noProof/>
          </w:rPr>
          <w:t xml:space="preserve">The UE includes in the RA-Report RSRP-related information at the time of failure, e.g. information on whether the last measured RSRP is above or below the </w:t>
        </w:r>
        <w:r w:rsidR="00E670F8" w:rsidRPr="00BD5E46">
          <w:rPr>
            <w:rStyle w:val="Hyperlink"/>
            <w:rFonts w:eastAsia="DengXian"/>
            <w:i/>
            <w:noProof/>
          </w:rPr>
          <w:t>sdt-RSRP-Threshold</w:t>
        </w:r>
        <w:r w:rsidR="00E670F8" w:rsidRPr="00BD5E46">
          <w:rPr>
            <w:rStyle w:val="Hyperlink"/>
            <w:noProof/>
          </w:rPr>
          <w:t>.</w:t>
        </w:r>
      </w:hyperlink>
    </w:p>
    <w:p w14:paraId="3FDA91EB" w14:textId="23D649C9"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58" w:history="1">
        <w:r w:rsidR="00E670F8" w:rsidRPr="00BD5E46">
          <w:rPr>
            <w:rStyle w:val="Hyperlink"/>
            <w:noProof/>
          </w:rPr>
          <w:t>Proposal 7</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BD5E46">
          <w:rPr>
            <w:rStyle w:val="Hyperlink"/>
            <w:noProof/>
          </w:rPr>
          <w:t>The UE includes in the RA-Report the remaining SDT data volume in the UE buffer at time of SDT failure, at least for the case of T319 expiry.</w:t>
        </w:r>
      </w:hyperlink>
    </w:p>
    <w:p w14:paraId="3F1CB9F1" w14:textId="2562B944" w:rsidR="00E670F8" w:rsidRDefault="006C6D7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54159" w:history="1">
        <w:r w:rsidR="00E670F8" w:rsidRPr="00BD5E46">
          <w:rPr>
            <w:rStyle w:val="Hyperlink"/>
            <w:noProof/>
          </w:rPr>
          <w:t>Proposal 8</w:t>
        </w:r>
        <w:r w:rsidR="00E670F8">
          <w:rPr>
            <w:rFonts w:asciiTheme="minorHAnsi" w:eastAsiaTheme="minorEastAsia" w:hAnsiTheme="minorHAnsi" w:cstheme="minorBidi"/>
            <w:b w:val="0"/>
            <w:noProof/>
            <w:kern w:val="2"/>
            <w:sz w:val="22"/>
            <w:szCs w:val="22"/>
            <w:lang w:val="en-SE" w:eastAsia="en-SE"/>
            <w14:ligatures w14:val="standardContextual"/>
          </w:rPr>
          <w:tab/>
        </w:r>
        <w:r w:rsidR="00E670F8" w:rsidRPr="00BD5E46">
          <w:rPr>
            <w:rStyle w:val="Hyperlink"/>
            <w:noProof/>
          </w:rPr>
          <w:t xml:space="preserve">To enhance SCG failure information sent in EN-DC, UE includes failed PSCell ID and previous PSCell ID in the </w:t>
        </w:r>
        <w:r w:rsidR="00E670F8" w:rsidRPr="00BD5E46">
          <w:rPr>
            <w:rStyle w:val="Hyperlink"/>
            <w:i/>
            <w:iCs/>
            <w:noProof/>
          </w:rPr>
          <w:t>SCGFailureInformationNR</w:t>
        </w:r>
        <w:r w:rsidR="00E670F8" w:rsidRPr="00BD5E46">
          <w:rPr>
            <w:rStyle w:val="Hyperlink"/>
            <w:noProof/>
          </w:rPr>
          <w:t xml:space="preserve"> message.</w:t>
        </w:r>
      </w:hyperlink>
    </w:p>
    <w:p w14:paraId="64F3E645" w14:textId="4C1616A9" w:rsidR="00C01F33" w:rsidRPr="00CE0424" w:rsidRDefault="006E1C82" w:rsidP="002D229A">
      <w:pPr>
        <w:pStyle w:val="BodyText"/>
      </w:pPr>
      <w:r>
        <w:rPr>
          <w:b/>
          <w:bCs/>
          <w:lang w:val="en-US"/>
        </w:rPr>
        <w:fldChar w:fldCharType="end"/>
      </w:r>
    </w:p>
    <w:p w14:paraId="7BD5CFC3" w14:textId="77777777" w:rsidR="00F507D1" w:rsidRPr="00CE0424" w:rsidRDefault="00F507D1" w:rsidP="00CE0424">
      <w:pPr>
        <w:pStyle w:val="Heading1"/>
      </w:pPr>
      <w:r w:rsidRPr="00CE0424">
        <w:t>References</w:t>
      </w:r>
    </w:p>
    <w:p w14:paraId="51A625E0" w14:textId="77777777" w:rsidR="002D229A" w:rsidRDefault="002D229A" w:rsidP="002D229A">
      <w:pPr>
        <w:pStyle w:val="Reference"/>
      </w:pPr>
      <w:bookmarkStart w:id="31" w:name="_Ref174151459"/>
      <w:bookmarkStart w:id="32" w:name="_Ref189809556"/>
      <w:r w:rsidRPr="002D229A">
        <w:t>R2-2312678, MHI Enhancement for SCG Activation/Deactivation, CMCC, Ericsson, CATT, RAN2 #124, Nov. 13th - 17th, 2023.</w:t>
      </w:r>
      <w:bookmarkEnd w:id="31"/>
      <w:bookmarkEnd w:id="32"/>
    </w:p>
    <w:p w14:paraId="761B1B73" w14:textId="466FFF68" w:rsidR="002D229A" w:rsidRDefault="002D229A" w:rsidP="002D229A">
      <w:pPr>
        <w:pStyle w:val="Reference"/>
      </w:pPr>
      <w:bookmarkStart w:id="33" w:name="_Ref170227300"/>
      <w:r w:rsidRPr="002D229A">
        <w:t>R2-2312746, Discussion on MHI Enhancement for SCG Deactivation/Activation, CATT, RAN2 #124, Nov. 13th - 17th, 2023.</w:t>
      </w:r>
      <w:bookmarkEnd w:id="33"/>
    </w:p>
    <w:p w14:paraId="036A4E10" w14:textId="1A7C9C11" w:rsidR="00387375" w:rsidRPr="002D229A" w:rsidRDefault="00387375" w:rsidP="00387375">
      <w:pPr>
        <w:pStyle w:val="Reference"/>
      </w:pPr>
      <w:bookmarkStart w:id="34" w:name="_Ref170227307"/>
      <w:r w:rsidRPr="00387375">
        <w:t>RP-234038, New WID: Data collection for SON (Self-Organising Networks)/MDT (Minimization of Drive Tests) in NR standalone and MR-DC (Multi-Radio Dual Connectivity) Phase 4, CMCC, RAN #102, Dec. 11th – 15th, 2023.</w:t>
      </w:r>
      <w:bookmarkEnd w:id="34"/>
    </w:p>
    <w:p w14:paraId="75A2579A" w14:textId="0F0C7FBC" w:rsidR="00CE706A" w:rsidRPr="00CE0424" w:rsidRDefault="00CE706A" w:rsidP="00CE0424">
      <w:pPr>
        <w:pStyle w:val="BodyTex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8B8BA" w14:textId="77777777" w:rsidR="003C44CF" w:rsidRDefault="003C44CF">
      <w:r>
        <w:separator/>
      </w:r>
    </w:p>
  </w:endnote>
  <w:endnote w:type="continuationSeparator" w:id="0">
    <w:p w14:paraId="7BECFB97" w14:textId="77777777" w:rsidR="003C44CF" w:rsidRDefault="003C44CF">
      <w:r>
        <w:continuationSeparator/>
      </w:r>
    </w:p>
  </w:endnote>
  <w:endnote w:type="continuationNotice" w:id="1">
    <w:p w14:paraId="462A3982" w14:textId="77777777" w:rsidR="003C44CF" w:rsidRDefault="003C4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51938" w14:textId="77777777" w:rsidR="003C44CF" w:rsidRDefault="003C44CF">
      <w:r>
        <w:separator/>
      </w:r>
    </w:p>
  </w:footnote>
  <w:footnote w:type="continuationSeparator" w:id="0">
    <w:p w14:paraId="7BF3A990" w14:textId="77777777" w:rsidR="003C44CF" w:rsidRDefault="003C44CF">
      <w:r>
        <w:continuationSeparator/>
      </w:r>
    </w:p>
  </w:footnote>
  <w:footnote w:type="continuationNotice" w:id="1">
    <w:p w14:paraId="64B77A64" w14:textId="77777777" w:rsidR="003C44CF" w:rsidRDefault="003C4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8942EA"/>
    <w:multiLevelType w:val="hybridMultilevel"/>
    <w:tmpl w:val="87E85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F25448"/>
    <w:multiLevelType w:val="hybridMultilevel"/>
    <w:tmpl w:val="114870E6"/>
    <w:lvl w:ilvl="0" w:tplc="C2084A40">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9"/>
  </w:num>
  <w:num w:numId="3" w16cid:durableId="1044866941">
    <w:abstractNumId w:val="15"/>
  </w:num>
  <w:num w:numId="4" w16cid:durableId="1231427303">
    <w:abstractNumId w:val="16"/>
  </w:num>
  <w:num w:numId="5" w16cid:durableId="1072850479">
    <w:abstractNumId w:val="12"/>
  </w:num>
  <w:num w:numId="6" w16cid:durableId="394863115">
    <w:abstractNumId w:val="18"/>
  </w:num>
  <w:num w:numId="7" w16cid:durableId="390274823">
    <w:abstractNumId w:val="24"/>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1"/>
  </w:num>
  <w:num w:numId="14" w16cid:durableId="1710256290">
    <w:abstractNumId w:val="22"/>
  </w:num>
  <w:num w:numId="15" w16cid:durableId="1503163078">
    <w:abstractNumId w:val="17"/>
  </w:num>
  <w:num w:numId="16" w16cid:durableId="1310598948">
    <w:abstractNumId w:val="26"/>
  </w:num>
  <w:num w:numId="17" w16cid:durableId="1740782811">
    <w:abstractNumId w:val="7"/>
  </w:num>
  <w:num w:numId="18" w16cid:durableId="1461649906">
    <w:abstractNumId w:val="8"/>
  </w:num>
  <w:num w:numId="19" w16cid:durableId="1006636967">
    <w:abstractNumId w:val="6"/>
  </w:num>
  <w:num w:numId="20" w16cid:durableId="1415129450">
    <w:abstractNumId w:val="28"/>
  </w:num>
  <w:num w:numId="21" w16cid:durableId="302731420">
    <w:abstractNumId w:val="14"/>
  </w:num>
  <w:num w:numId="22" w16cid:durableId="1828281064">
    <w:abstractNumId w:val="27"/>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0"/>
  </w:num>
  <w:num w:numId="25" w16cid:durableId="814489860">
    <w:abstractNumId w:val="25"/>
  </w:num>
  <w:num w:numId="26" w16cid:durableId="723338061">
    <w:abstractNumId w:val="9"/>
  </w:num>
  <w:num w:numId="27" w16cid:durableId="501316963">
    <w:abstractNumId w:val="11"/>
  </w:num>
  <w:num w:numId="28" w16cid:durableId="634990733">
    <w:abstractNumId w:val="23"/>
  </w:num>
  <w:num w:numId="29" w16cid:durableId="11775007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36B9"/>
    <w:rsid w:val="0000564C"/>
    <w:rsid w:val="00006446"/>
    <w:rsid w:val="00006896"/>
    <w:rsid w:val="00007CDC"/>
    <w:rsid w:val="00011B28"/>
    <w:rsid w:val="00015D15"/>
    <w:rsid w:val="0002564D"/>
    <w:rsid w:val="00025ECA"/>
    <w:rsid w:val="000325B8"/>
    <w:rsid w:val="000346CD"/>
    <w:rsid w:val="00034C15"/>
    <w:rsid w:val="00036BA1"/>
    <w:rsid w:val="000422E2"/>
    <w:rsid w:val="00042F22"/>
    <w:rsid w:val="000444EF"/>
    <w:rsid w:val="0004778E"/>
    <w:rsid w:val="00050C7B"/>
    <w:rsid w:val="0005226A"/>
    <w:rsid w:val="00052A07"/>
    <w:rsid w:val="000534E3"/>
    <w:rsid w:val="0005606A"/>
    <w:rsid w:val="00057117"/>
    <w:rsid w:val="000616E7"/>
    <w:rsid w:val="0006487E"/>
    <w:rsid w:val="00065E1A"/>
    <w:rsid w:val="00077E5F"/>
    <w:rsid w:val="0008036A"/>
    <w:rsid w:val="00081AE6"/>
    <w:rsid w:val="00083A32"/>
    <w:rsid w:val="000843A2"/>
    <w:rsid w:val="000855EB"/>
    <w:rsid w:val="00085B52"/>
    <w:rsid w:val="000866F2"/>
    <w:rsid w:val="0009009F"/>
    <w:rsid w:val="00091557"/>
    <w:rsid w:val="000924C1"/>
    <w:rsid w:val="000924F0"/>
    <w:rsid w:val="00093474"/>
    <w:rsid w:val="0009510F"/>
    <w:rsid w:val="000A1094"/>
    <w:rsid w:val="000A1B7B"/>
    <w:rsid w:val="000A56F2"/>
    <w:rsid w:val="000B2719"/>
    <w:rsid w:val="000B3A8F"/>
    <w:rsid w:val="000B4AB9"/>
    <w:rsid w:val="000B58C3"/>
    <w:rsid w:val="000B61E9"/>
    <w:rsid w:val="000C165A"/>
    <w:rsid w:val="000C1DCE"/>
    <w:rsid w:val="000C2E19"/>
    <w:rsid w:val="000C37A2"/>
    <w:rsid w:val="000D0D07"/>
    <w:rsid w:val="000D4797"/>
    <w:rsid w:val="000E0527"/>
    <w:rsid w:val="000E1E92"/>
    <w:rsid w:val="000E25BF"/>
    <w:rsid w:val="000F06D6"/>
    <w:rsid w:val="000F0EB1"/>
    <w:rsid w:val="000F1106"/>
    <w:rsid w:val="000F173A"/>
    <w:rsid w:val="000F3BE9"/>
    <w:rsid w:val="000F3F6C"/>
    <w:rsid w:val="000F6DF3"/>
    <w:rsid w:val="000F7B11"/>
    <w:rsid w:val="001005FF"/>
    <w:rsid w:val="001062FB"/>
    <w:rsid w:val="001063E6"/>
    <w:rsid w:val="00113CF4"/>
    <w:rsid w:val="001153EA"/>
    <w:rsid w:val="00115643"/>
    <w:rsid w:val="00116765"/>
    <w:rsid w:val="00120204"/>
    <w:rsid w:val="001219F5"/>
    <w:rsid w:val="00121A20"/>
    <w:rsid w:val="0012377F"/>
    <w:rsid w:val="00124314"/>
    <w:rsid w:val="0012697E"/>
    <w:rsid w:val="00126B4A"/>
    <w:rsid w:val="00131897"/>
    <w:rsid w:val="00132FD0"/>
    <w:rsid w:val="001344C0"/>
    <w:rsid w:val="001346FA"/>
    <w:rsid w:val="00135252"/>
    <w:rsid w:val="00137AB5"/>
    <w:rsid w:val="00137C7F"/>
    <w:rsid w:val="00137F0B"/>
    <w:rsid w:val="00151E23"/>
    <w:rsid w:val="001526E0"/>
    <w:rsid w:val="001551B5"/>
    <w:rsid w:val="00162E1C"/>
    <w:rsid w:val="001659C1"/>
    <w:rsid w:val="001678F4"/>
    <w:rsid w:val="0017014E"/>
    <w:rsid w:val="00171F51"/>
    <w:rsid w:val="00173A8E"/>
    <w:rsid w:val="0017502C"/>
    <w:rsid w:val="00176F57"/>
    <w:rsid w:val="0018143F"/>
    <w:rsid w:val="0018176A"/>
    <w:rsid w:val="00181FF8"/>
    <w:rsid w:val="001845D4"/>
    <w:rsid w:val="00190AC1"/>
    <w:rsid w:val="0019341A"/>
    <w:rsid w:val="00195464"/>
    <w:rsid w:val="00197DF9"/>
    <w:rsid w:val="001A1987"/>
    <w:rsid w:val="001A2564"/>
    <w:rsid w:val="001A36B9"/>
    <w:rsid w:val="001A3747"/>
    <w:rsid w:val="001A6173"/>
    <w:rsid w:val="001A6CBA"/>
    <w:rsid w:val="001B0D97"/>
    <w:rsid w:val="001B365E"/>
    <w:rsid w:val="001B5A5D"/>
    <w:rsid w:val="001B6F30"/>
    <w:rsid w:val="001C0711"/>
    <w:rsid w:val="001C1CE5"/>
    <w:rsid w:val="001C3D2A"/>
    <w:rsid w:val="001C5CB8"/>
    <w:rsid w:val="001D51BA"/>
    <w:rsid w:val="001D53E7"/>
    <w:rsid w:val="001D6342"/>
    <w:rsid w:val="001D6D53"/>
    <w:rsid w:val="001E58E2"/>
    <w:rsid w:val="001E7AED"/>
    <w:rsid w:val="001F0805"/>
    <w:rsid w:val="001F3916"/>
    <w:rsid w:val="001F54C5"/>
    <w:rsid w:val="001F662C"/>
    <w:rsid w:val="001F6DBC"/>
    <w:rsid w:val="001F7074"/>
    <w:rsid w:val="00200490"/>
    <w:rsid w:val="00201AFB"/>
    <w:rsid w:val="00201F3A"/>
    <w:rsid w:val="00203F96"/>
    <w:rsid w:val="002069B2"/>
    <w:rsid w:val="00207FA3"/>
    <w:rsid w:val="0021197A"/>
    <w:rsid w:val="00214DA8"/>
    <w:rsid w:val="00215423"/>
    <w:rsid w:val="002158FA"/>
    <w:rsid w:val="002201D2"/>
    <w:rsid w:val="00220600"/>
    <w:rsid w:val="002224DB"/>
    <w:rsid w:val="00223FCB"/>
    <w:rsid w:val="002252C3"/>
    <w:rsid w:val="00225C54"/>
    <w:rsid w:val="00230765"/>
    <w:rsid w:val="00230D18"/>
    <w:rsid w:val="002319E4"/>
    <w:rsid w:val="00234250"/>
    <w:rsid w:val="00235632"/>
    <w:rsid w:val="00235872"/>
    <w:rsid w:val="00241559"/>
    <w:rsid w:val="00243102"/>
    <w:rsid w:val="002435B3"/>
    <w:rsid w:val="002458EB"/>
    <w:rsid w:val="00247E29"/>
    <w:rsid w:val="002500C8"/>
    <w:rsid w:val="002555D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E19"/>
    <w:rsid w:val="00292EB7"/>
    <w:rsid w:val="00296227"/>
    <w:rsid w:val="00296F44"/>
    <w:rsid w:val="0029777D"/>
    <w:rsid w:val="002A055E"/>
    <w:rsid w:val="002A1D4E"/>
    <w:rsid w:val="002A2869"/>
    <w:rsid w:val="002B24D6"/>
    <w:rsid w:val="002B56E0"/>
    <w:rsid w:val="002C37EE"/>
    <w:rsid w:val="002C41E6"/>
    <w:rsid w:val="002C4A22"/>
    <w:rsid w:val="002C660C"/>
    <w:rsid w:val="002D071A"/>
    <w:rsid w:val="002D229A"/>
    <w:rsid w:val="002D34B2"/>
    <w:rsid w:val="002D48B0"/>
    <w:rsid w:val="002D5B37"/>
    <w:rsid w:val="002D71B3"/>
    <w:rsid w:val="002D7637"/>
    <w:rsid w:val="002E17F2"/>
    <w:rsid w:val="002E409A"/>
    <w:rsid w:val="002E7CAE"/>
    <w:rsid w:val="002F2771"/>
    <w:rsid w:val="002F37A9"/>
    <w:rsid w:val="00301CE6"/>
    <w:rsid w:val="0030256B"/>
    <w:rsid w:val="0030501F"/>
    <w:rsid w:val="00306C55"/>
    <w:rsid w:val="00307BA1"/>
    <w:rsid w:val="00311702"/>
    <w:rsid w:val="00311E82"/>
    <w:rsid w:val="00313FD6"/>
    <w:rsid w:val="003143BD"/>
    <w:rsid w:val="00315363"/>
    <w:rsid w:val="00317753"/>
    <w:rsid w:val="003203ED"/>
    <w:rsid w:val="00322C9F"/>
    <w:rsid w:val="00324D23"/>
    <w:rsid w:val="003267B7"/>
    <w:rsid w:val="00331751"/>
    <w:rsid w:val="00334579"/>
    <w:rsid w:val="00335858"/>
    <w:rsid w:val="00336BDA"/>
    <w:rsid w:val="00342BD7"/>
    <w:rsid w:val="0034311E"/>
    <w:rsid w:val="00344B44"/>
    <w:rsid w:val="00346DB5"/>
    <w:rsid w:val="003477B1"/>
    <w:rsid w:val="00355E88"/>
    <w:rsid w:val="00357380"/>
    <w:rsid w:val="003602D9"/>
    <w:rsid w:val="003604CE"/>
    <w:rsid w:val="00370E47"/>
    <w:rsid w:val="003742AC"/>
    <w:rsid w:val="003775BE"/>
    <w:rsid w:val="00377CE1"/>
    <w:rsid w:val="00385BF0"/>
    <w:rsid w:val="00387375"/>
    <w:rsid w:val="003939FF"/>
    <w:rsid w:val="003A08D2"/>
    <w:rsid w:val="003A2223"/>
    <w:rsid w:val="003A2A0F"/>
    <w:rsid w:val="003A413D"/>
    <w:rsid w:val="003A4540"/>
    <w:rsid w:val="003A45A1"/>
    <w:rsid w:val="003A5B0A"/>
    <w:rsid w:val="003A6BAC"/>
    <w:rsid w:val="003A70A4"/>
    <w:rsid w:val="003A7EF3"/>
    <w:rsid w:val="003B159C"/>
    <w:rsid w:val="003B369F"/>
    <w:rsid w:val="003B36A3"/>
    <w:rsid w:val="003B4501"/>
    <w:rsid w:val="003B64BB"/>
    <w:rsid w:val="003B7FE5"/>
    <w:rsid w:val="003C11C8"/>
    <w:rsid w:val="003C2702"/>
    <w:rsid w:val="003C44CF"/>
    <w:rsid w:val="003C7806"/>
    <w:rsid w:val="003D109F"/>
    <w:rsid w:val="003D2478"/>
    <w:rsid w:val="003D3C45"/>
    <w:rsid w:val="003D5B1F"/>
    <w:rsid w:val="003E15FA"/>
    <w:rsid w:val="003E55E4"/>
    <w:rsid w:val="003E6923"/>
    <w:rsid w:val="003E74E3"/>
    <w:rsid w:val="003F05C7"/>
    <w:rsid w:val="003F11C3"/>
    <w:rsid w:val="003F2CD4"/>
    <w:rsid w:val="003F6BBE"/>
    <w:rsid w:val="004000E8"/>
    <w:rsid w:val="00402E2B"/>
    <w:rsid w:val="004030D8"/>
    <w:rsid w:val="0040512B"/>
    <w:rsid w:val="00405CA5"/>
    <w:rsid w:val="00407CD3"/>
    <w:rsid w:val="00410134"/>
    <w:rsid w:val="00410B72"/>
    <w:rsid w:val="00410F18"/>
    <w:rsid w:val="0041263E"/>
    <w:rsid w:val="00413AAC"/>
    <w:rsid w:val="00413E92"/>
    <w:rsid w:val="00421105"/>
    <w:rsid w:val="00422AA4"/>
    <w:rsid w:val="004242F4"/>
    <w:rsid w:val="00427248"/>
    <w:rsid w:val="004344C0"/>
    <w:rsid w:val="00437447"/>
    <w:rsid w:val="00441A92"/>
    <w:rsid w:val="004431DC"/>
    <w:rsid w:val="00443DFA"/>
    <w:rsid w:val="00444F56"/>
    <w:rsid w:val="004463F1"/>
    <w:rsid w:val="00446488"/>
    <w:rsid w:val="00447D88"/>
    <w:rsid w:val="004517AA"/>
    <w:rsid w:val="00451A5E"/>
    <w:rsid w:val="00451EF1"/>
    <w:rsid w:val="00452CAC"/>
    <w:rsid w:val="004546DA"/>
    <w:rsid w:val="00457565"/>
    <w:rsid w:val="00457B71"/>
    <w:rsid w:val="00464337"/>
    <w:rsid w:val="004669E2"/>
    <w:rsid w:val="00470C31"/>
    <w:rsid w:val="00471DE0"/>
    <w:rsid w:val="004734D0"/>
    <w:rsid w:val="0047556B"/>
    <w:rsid w:val="00477768"/>
    <w:rsid w:val="0049237E"/>
    <w:rsid w:val="00492BC5"/>
    <w:rsid w:val="004964F1"/>
    <w:rsid w:val="004A16BC"/>
    <w:rsid w:val="004A2B94"/>
    <w:rsid w:val="004B6F6A"/>
    <w:rsid w:val="004B7C0C"/>
    <w:rsid w:val="004C1D7A"/>
    <w:rsid w:val="004C3898"/>
    <w:rsid w:val="004D15A8"/>
    <w:rsid w:val="004D36B1"/>
    <w:rsid w:val="004D7EBD"/>
    <w:rsid w:val="004E2680"/>
    <w:rsid w:val="004E28F9"/>
    <w:rsid w:val="004E462E"/>
    <w:rsid w:val="004E56DC"/>
    <w:rsid w:val="004E6B59"/>
    <w:rsid w:val="004E76F4"/>
    <w:rsid w:val="004F0B4E"/>
    <w:rsid w:val="004F0B6C"/>
    <w:rsid w:val="004F2078"/>
    <w:rsid w:val="004F4DA3"/>
    <w:rsid w:val="004F57B4"/>
    <w:rsid w:val="004F762F"/>
    <w:rsid w:val="00500E7F"/>
    <w:rsid w:val="00506557"/>
    <w:rsid w:val="0050677A"/>
    <w:rsid w:val="005108D8"/>
    <w:rsid w:val="005116F9"/>
    <w:rsid w:val="005153A7"/>
    <w:rsid w:val="005156F6"/>
    <w:rsid w:val="005201BD"/>
    <w:rsid w:val="005201FE"/>
    <w:rsid w:val="005219CF"/>
    <w:rsid w:val="00524E25"/>
    <w:rsid w:val="00533CBA"/>
    <w:rsid w:val="00534607"/>
    <w:rsid w:val="00534B59"/>
    <w:rsid w:val="00536759"/>
    <w:rsid w:val="00537C62"/>
    <w:rsid w:val="00544740"/>
    <w:rsid w:val="00545306"/>
    <w:rsid w:val="00546970"/>
    <w:rsid w:val="0055268A"/>
    <w:rsid w:val="00554E19"/>
    <w:rsid w:val="0056121F"/>
    <w:rsid w:val="0056476B"/>
    <w:rsid w:val="00565987"/>
    <w:rsid w:val="00572505"/>
    <w:rsid w:val="00582809"/>
    <w:rsid w:val="0058423C"/>
    <w:rsid w:val="0058798C"/>
    <w:rsid w:val="005900FA"/>
    <w:rsid w:val="005935A4"/>
    <w:rsid w:val="005948C2"/>
    <w:rsid w:val="00595DCA"/>
    <w:rsid w:val="0059779B"/>
    <w:rsid w:val="005A0FCE"/>
    <w:rsid w:val="005A209A"/>
    <w:rsid w:val="005A662D"/>
    <w:rsid w:val="005A69BB"/>
    <w:rsid w:val="005A72C5"/>
    <w:rsid w:val="005B1409"/>
    <w:rsid w:val="005B35D7"/>
    <w:rsid w:val="005B392A"/>
    <w:rsid w:val="005B3AA3"/>
    <w:rsid w:val="005B6F83"/>
    <w:rsid w:val="005C003B"/>
    <w:rsid w:val="005C2983"/>
    <w:rsid w:val="005C74FB"/>
    <w:rsid w:val="005D1602"/>
    <w:rsid w:val="005E385F"/>
    <w:rsid w:val="005E444B"/>
    <w:rsid w:val="005E5B81"/>
    <w:rsid w:val="005F2CB1"/>
    <w:rsid w:val="005F3025"/>
    <w:rsid w:val="005F618C"/>
    <w:rsid w:val="005F70BD"/>
    <w:rsid w:val="00601D07"/>
    <w:rsid w:val="0060283C"/>
    <w:rsid w:val="00604F14"/>
    <w:rsid w:val="00611B83"/>
    <w:rsid w:val="00613257"/>
    <w:rsid w:val="00620A71"/>
    <w:rsid w:val="00620D80"/>
    <w:rsid w:val="006234A6"/>
    <w:rsid w:val="00630001"/>
    <w:rsid w:val="006311B3"/>
    <w:rsid w:val="0063284C"/>
    <w:rsid w:val="00636398"/>
    <w:rsid w:val="006368D3"/>
    <w:rsid w:val="00637118"/>
    <w:rsid w:val="006377EC"/>
    <w:rsid w:val="0064151F"/>
    <w:rsid w:val="00641533"/>
    <w:rsid w:val="0064208D"/>
    <w:rsid w:val="006424BB"/>
    <w:rsid w:val="00643475"/>
    <w:rsid w:val="0064396A"/>
    <w:rsid w:val="0064624E"/>
    <w:rsid w:val="00646B83"/>
    <w:rsid w:val="00650AB9"/>
    <w:rsid w:val="00651953"/>
    <w:rsid w:val="0065218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9CF"/>
    <w:rsid w:val="00695FC2"/>
    <w:rsid w:val="00696949"/>
    <w:rsid w:val="00697052"/>
    <w:rsid w:val="006A02B7"/>
    <w:rsid w:val="006A46FB"/>
    <w:rsid w:val="006A47E4"/>
    <w:rsid w:val="006A4CBD"/>
    <w:rsid w:val="006A5E28"/>
    <w:rsid w:val="006A697B"/>
    <w:rsid w:val="006A7AFF"/>
    <w:rsid w:val="006B1816"/>
    <w:rsid w:val="006B208F"/>
    <w:rsid w:val="006B2099"/>
    <w:rsid w:val="006B2D50"/>
    <w:rsid w:val="006B50CF"/>
    <w:rsid w:val="006C03B8"/>
    <w:rsid w:val="006C5EC9"/>
    <w:rsid w:val="006C6059"/>
    <w:rsid w:val="006C6D70"/>
    <w:rsid w:val="006C7522"/>
    <w:rsid w:val="006D6F08"/>
    <w:rsid w:val="006D769A"/>
    <w:rsid w:val="006E030B"/>
    <w:rsid w:val="006E062C"/>
    <w:rsid w:val="006E1C82"/>
    <w:rsid w:val="006E28B7"/>
    <w:rsid w:val="006E2A9B"/>
    <w:rsid w:val="006E3310"/>
    <w:rsid w:val="006E4E39"/>
    <w:rsid w:val="006E565E"/>
    <w:rsid w:val="006E673D"/>
    <w:rsid w:val="006E7D3B"/>
    <w:rsid w:val="006F1B70"/>
    <w:rsid w:val="006F341D"/>
    <w:rsid w:val="006F3CDE"/>
    <w:rsid w:val="006F4E2E"/>
    <w:rsid w:val="006F58D4"/>
    <w:rsid w:val="006F6582"/>
    <w:rsid w:val="006F73B2"/>
    <w:rsid w:val="00702677"/>
    <w:rsid w:val="007026DC"/>
    <w:rsid w:val="0070346E"/>
    <w:rsid w:val="00704EDB"/>
    <w:rsid w:val="00706101"/>
    <w:rsid w:val="00707072"/>
    <w:rsid w:val="00707D61"/>
    <w:rsid w:val="00712287"/>
    <w:rsid w:val="00712772"/>
    <w:rsid w:val="007148D3"/>
    <w:rsid w:val="00715666"/>
    <w:rsid w:val="00715B9A"/>
    <w:rsid w:val="007176B0"/>
    <w:rsid w:val="0072023E"/>
    <w:rsid w:val="00725457"/>
    <w:rsid w:val="007257D0"/>
    <w:rsid w:val="00726EA6"/>
    <w:rsid w:val="00727208"/>
    <w:rsid w:val="00727680"/>
    <w:rsid w:val="00727D25"/>
    <w:rsid w:val="007318FD"/>
    <w:rsid w:val="007348B1"/>
    <w:rsid w:val="0073562F"/>
    <w:rsid w:val="007362A6"/>
    <w:rsid w:val="00736D7D"/>
    <w:rsid w:val="007378BA"/>
    <w:rsid w:val="00740E58"/>
    <w:rsid w:val="007445A0"/>
    <w:rsid w:val="0074524B"/>
    <w:rsid w:val="00745FA1"/>
    <w:rsid w:val="00747D8B"/>
    <w:rsid w:val="00751228"/>
    <w:rsid w:val="00755BBB"/>
    <w:rsid w:val="0075665F"/>
    <w:rsid w:val="007571E1"/>
    <w:rsid w:val="00757A16"/>
    <w:rsid w:val="007604B2"/>
    <w:rsid w:val="00765281"/>
    <w:rsid w:val="00766BAD"/>
    <w:rsid w:val="007709B4"/>
    <w:rsid w:val="007711C3"/>
    <w:rsid w:val="007729A2"/>
    <w:rsid w:val="007748E1"/>
    <w:rsid w:val="007755F2"/>
    <w:rsid w:val="00776971"/>
    <w:rsid w:val="00780A80"/>
    <w:rsid w:val="0078177E"/>
    <w:rsid w:val="0078304C"/>
    <w:rsid w:val="00783673"/>
    <w:rsid w:val="00785490"/>
    <w:rsid w:val="00786692"/>
    <w:rsid w:val="00787F8B"/>
    <w:rsid w:val="007925EA"/>
    <w:rsid w:val="00793CD8"/>
    <w:rsid w:val="0079424C"/>
    <w:rsid w:val="00795C92"/>
    <w:rsid w:val="00796231"/>
    <w:rsid w:val="007A1CB3"/>
    <w:rsid w:val="007A306F"/>
    <w:rsid w:val="007A43A6"/>
    <w:rsid w:val="007A58A6"/>
    <w:rsid w:val="007B3D2D"/>
    <w:rsid w:val="007B50AE"/>
    <w:rsid w:val="007B51DF"/>
    <w:rsid w:val="007C05DD"/>
    <w:rsid w:val="007C10DE"/>
    <w:rsid w:val="007C3D18"/>
    <w:rsid w:val="007C60BF"/>
    <w:rsid w:val="007C6A07"/>
    <w:rsid w:val="007C75A1"/>
    <w:rsid w:val="007C77A5"/>
    <w:rsid w:val="007D04E5"/>
    <w:rsid w:val="007D09AE"/>
    <w:rsid w:val="007D5901"/>
    <w:rsid w:val="007D7526"/>
    <w:rsid w:val="007E4610"/>
    <w:rsid w:val="007E4715"/>
    <w:rsid w:val="007E505B"/>
    <w:rsid w:val="007E7091"/>
    <w:rsid w:val="007F224C"/>
    <w:rsid w:val="007F551A"/>
    <w:rsid w:val="00800550"/>
    <w:rsid w:val="00803ECB"/>
    <w:rsid w:val="00803FAE"/>
    <w:rsid w:val="0080605F"/>
    <w:rsid w:val="0080627D"/>
    <w:rsid w:val="00807786"/>
    <w:rsid w:val="00811FCB"/>
    <w:rsid w:val="008158D6"/>
    <w:rsid w:val="00817196"/>
    <w:rsid w:val="008235DB"/>
    <w:rsid w:val="00824AB4"/>
    <w:rsid w:val="00825C42"/>
    <w:rsid w:val="00825D25"/>
    <w:rsid w:val="00827D6F"/>
    <w:rsid w:val="008376AC"/>
    <w:rsid w:val="00843030"/>
    <w:rsid w:val="008444E8"/>
    <w:rsid w:val="00844E80"/>
    <w:rsid w:val="00846FE7"/>
    <w:rsid w:val="008559C6"/>
    <w:rsid w:val="00856911"/>
    <w:rsid w:val="00857113"/>
    <w:rsid w:val="008677FD"/>
    <w:rsid w:val="008706D4"/>
    <w:rsid w:val="00870F8A"/>
    <w:rsid w:val="008719A4"/>
    <w:rsid w:val="00871D23"/>
    <w:rsid w:val="00874312"/>
    <w:rsid w:val="0087437C"/>
    <w:rsid w:val="00875CD7"/>
    <w:rsid w:val="00876B4D"/>
    <w:rsid w:val="00877F18"/>
    <w:rsid w:val="008941E3"/>
    <w:rsid w:val="0089442B"/>
    <w:rsid w:val="00894A88"/>
    <w:rsid w:val="00894B27"/>
    <w:rsid w:val="00895386"/>
    <w:rsid w:val="008A21FF"/>
    <w:rsid w:val="008A2CE2"/>
    <w:rsid w:val="008A30AC"/>
    <w:rsid w:val="008A44B8"/>
    <w:rsid w:val="008A51A8"/>
    <w:rsid w:val="008A54C7"/>
    <w:rsid w:val="008A5EEC"/>
    <w:rsid w:val="008A77D8"/>
    <w:rsid w:val="008B0483"/>
    <w:rsid w:val="008B120C"/>
    <w:rsid w:val="008B45E2"/>
    <w:rsid w:val="008B51A0"/>
    <w:rsid w:val="008B592A"/>
    <w:rsid w:val="008B7B5C"/>
    <w:rsid w:val="008C0C99"/>
    <w:rsid w:val="008C2017"/>
    <w:rsid w:val="008C4958"/>
    <w:rsid w:val="008C4BAA"/>
    <w:rsid w:val="008C6AE8"/>
    <w:rsid w:val="008C7573"/>
    <w:rsid w:val="008D00A5"/>
    <w:rsid w:val="008D34F1"/>
    <w:rsid w:val="008D39D8"/>
    <w:rsid w:val="008D6BC1"/>
    <w:rsid w:val="008D6D1A"/>
    <w:rsid w:val="008E065E"/>
    <w:rsid w:val="008E0927"/>
    <w:rsid w:val="008E1909"/>
    <w:rsid w:val="008E4361"/>
    <w:rsid w:val="008F1EAB"/>
    <w:rsid w:val="008F22B3"/>
    <w:rsid w:val="008F33DC"/>
    <w:rsid w:val="008F477F"/>
    <w:rsid w:val="008F5FAB"/>
    <w:rsid w:val="008F7FAE"/>
    <w:rsid w:val="00902350"/>
    <w:rsid w:val="0090336B"/>
    <w:rsid w:val="009053AA"/>
    <w:rsid w:val="00906939"/>
    <w:rsid w:val="00910034"/>
    <w:rsid w:val="00910B7D"/>
    <w:rsid w:val="00911DFB"/>
    <w:rsid w:val="009139D9"/>
    <w:rsid w:val="00914AD8"/>
    <w:rsid w:val="00916079"/>
    <w:rsid w:val="009174EF"/>
    <w:rsid w:val="00917CE9"/>
    <w:rsid w:val="00920BF2"/>
    <w:rsid w:val="00922010"/>
    <w:rsid w:val="009264DC"/>
    <w:rsid w:val="00931BD9"/>
    <w:rsid w:val="00933E24"/>
    <w:rsid w:val="009366B5"/>
    <w:rsid w:val="009368F3"/>
    <w:rsid w:val="00936DEF"/>
    <w:rsid w:val="00937B32"/>
    <w:rsid w:val="00937EC6"/>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A96"/>
    <w:rsid w:val="0097014A"/>
    <w:rsid w:val="00971F08"/>
    <w:rsid w:val="00972393"/>
    <w:rsid w:val="0097603D"/>
    <w:rsid w:val="00976949"/>
    <w:rsid w:val="00976B94"/>
    <w:rsid w:val="00980015"/>
    <w:rsid w:val="00980477"/>
    <w:rsid w:val="009838AE"/>
    <w:rsid w:val="00985253"/>
    <w:rsid w:val="009853B3"/>
    <w:rsid w:val="00990630"/>
    <w:rsid w:val="00991761"/>
    <w:rsid w:val="00991AE2"/>
    <w:rsid w:val="00994DCA"/>
    <w:rsid w:val="0099587E"/>
    <w:rsid w:val="009960EC"/>
    <w:rsid w:val="009970DD"/>
    <w:rsid w:val="009A0FBA"/>
    <w:rsid w:val="009A1601"/>
    <w:rsid w:val="009A3BB6"/>
    <w:rsid w:val="009A462D"/>
    <w:rsid w:val="009A5CBA"/>
    <w:rsid w:val="009B0967"/>
    <w:rsid w:val="009B1F30"/>
    <w:rsid w:val="009B3AC2"/>
    <w:rsid w:val="009B4DF4"/>
    <w:rsid w:val="009B564E"/>
    <w:rsid w:val="009B6B8B"/>
    <w:rsid w:val="009B7E87"/>
    <w:rsid w:val="009C0169"/>
    <w:rsid w:val="009C403E"/>
    <w:rsid w:val="009D4BCC"/>
    <w:rsid w:val="009D4FF0"/>
    <w:rsid w:val="009D703C"/>
    <w:rsid w:val="009D718F"/>
    <w:rsid w:val="009D7E77"/>
    <w:rsid w:val="009E068F"/>
    <w:rsid w:val="009E14E0"/>
    <w:rsid w:val="009E35DB"/>
    <w:rsid w:val="009E47A3"/>
    <w:rsid w:val="009F08F3"/>
    <w:rsid w:val="009F09FD"/>
    <w:rsid w:val="009F344F"/>
    <w:rsid w:val="009F3E85"/>
    <w:rsid w:val="009F50AF"/>
    <w:rsid w:val="00A03143"/>
    <w:rsid w:val="00A031D8"/>
    <w:rsid w:val="00A048A8"/>
    <w:rsid w:val="00A04F49"/>
    <w:rsid w:val="00A13E54"/>
    <w:rsid w:val="00A16DF4"/>
    <w:rsid w:val="00A17F63"/>
    <w:rsid w:val="00A2193B"/>
    <w:rsid w:val="00A2335B"/>
    <w:rsid w:val="00A2351A"/>
    <w:rsid w:val="00A2534D"/>
    <w:rsid w:val="00A264A9"/>
    <w:rsid w:val="00A26DCF"/>
    <w:rsid w:val="00A27785"/>
    <w:rsid w:val="00A30187"/>
    <w:rsid w:val="00A3448A"/>
    <w:rsid w:val="00A36297"/>
    <w:rsid w:val="00A41E2B"/>
    <w:rsid w:val="00A42493"/>
    <w:rsid w:val="00A45B74"/>
    <w:rsid w:val="00A51B9F"/>
    <w:rsid w:val="00A52E1D"/>
    <w:rsid w:val="00A61499"/>
    <w:rsid w:val="00A62A77"/>
    <w:rsid w:val="00A63483"/>
    <w:rsid w:val="00A657D7"/>
    <w:rsid w:val="00A660AC"/>
    <w:rsid w:val="00A661DE"/>
    <w:rsid w:val="00A67E6C"/>
    <w:rsid w:val="00A71B99"/>
    <w:rsid w:val="00A739D0"/>
    <w:rsid w:val="00A761D4"/>
    <w:rsid w:val="00A77A16"/>
    <w:rsid w:val="00A77EC4"/>
    <w:rsid w:val="00A873E5"/>
    <w:rsid w:val="00A923BA"/>
    <w:rsid w:val="00A92879"/>
    <w:rsid w:val="00A9442A"/>
    <w:rsid w:val="00AA016F"/>
    <w:rsid w:val="00AA084C"/>
    <w:rsid w:val="00AA1ED6"/>
    <w:rsid w:val="00AA49C8"/>
    <w:rsid w:val="00AA51D6"/>
    <w:rsid w:val="00AB0BC8"/>
    <w:rsid w:val="00AB11CA"/>
    <w:rsid w:val="00AB14D9"/>
    <w:rsid w:val="00AB4AB8"/>
    <w:rsid w:val="00AB655E"/>
    <w:rsid w:val="00AC007F"/>
    <w:rsid w:val="00AC190B"/>
    <w:rsid w:val="00AC2ECD"/>
    <w:rsid w:val="00AC3119"/>
    <w:rsid w:val="00AC36EC"/>
    <w:rsid w:val="00AC49FB"/>
    <w:rsid w:val="00AC5A10"/>
    <w:rsid w:val="00AD0AA3"/>
    <w:rsid w:val="00AD3C0F"/>
    <w:rsid w:val="00AD3F94"/>
    <w:rsid w:val="00AD4A5A"/>
    <w:rsid w:val="00AE25D2"/>
    <w:rsid w:val="00AE27AC"/>
    <w:rsid w:val="00AE40E0"/>
    <w:rsid w:val="00AE4DBA"/>
    <w:rsid w:val="00AE4F07"/>
    <w:rsid w:val="00AF192E"/>
    <w:rsid w:val="00AF1C5D"/>
    <w:rsid w:val="00AF42D7"/>
    <w:rsid w:val="00AF5A1C"/>
    <w:rsid w:val="00AF60A3"/>
    <w:rsid w:val="00B006FE"/>
    <w:rsid w:val="00B007CB"/>
    <w:rsid w:val="00B01B25"/>
    <w:rsid w:val="00B02AA9"/>
    <w:rsid w:val="00B02FA3"/>
    <w:rsid w:val="00B05084"/>
    <w:rsid w:val="00B057FD"/>
    <w:rsid w:val="00B157F9"/>
    <w:rsid w:val="00B20256"/>
    <w:rsid w:val="00B20D09"/>
    <w:rsid w:val="00B2763F"/>
    <w:rsid w:val="00B27AAC"/>
    <w:rsid w:val="00B30929"/>
    <w:rsid w:val="00B372AA"/>
    <w:rsid w:val="00B40445"/>
    <w:rsid w:val="00B409E0"/>
    <w:rsid w:val="00B41888"/>
    <w:rsid w:val="00B45A52"/>
    <w:rsid w:val="00B46175"/>
    <w:rsid w:val="00B5116B"/>
    <w:rsid w:val="00B51308"/>
    <w:rsid w:val="00B548B7"/>
    <w:rsid w:val="00B664C7"/>
    <w:rsid w:val="00B739F6"/>
    <w:rsid w:val="00B76205"/>
    <w:rsid w:val="00B81A6C"/>
    <w:rsid w:val="00B85DE5"/>
    <w:rsid w:val="00B90F73"/>
    <w:rsid w:val="00B93B59"/>
    <w:rsid w:val="00B9406A"/>
    <w:rsid w:val="00B95FB9"/>
    <w:rsid w:val="00B96F9F"/>
    <w:rsid w:val="00BA0A9D"/>
    <w:rsid w:val="00BA0CC8"/>
    <w:rsid w:val="00BA2280"/>
    <w:rsid w:val="00BA2A08"/>
    <w:rsid w:val="00BA56D2"/>
    <w:rsid w:val="00BA76E0"/>
    <w:rsid w:val="00BB0DB2"/>
    <w:rsid w:val="00BB2A25"/>
    <w:rsid w:val="00BB2FF5"/>
    <w:rsid w:val="00BB51E9"/>
    <w:rsid w:val="00BC0FDC"/>
    <w:rsid w:val="00BC3053"/>
    <w:rsid w:val="00BC4D2E"/>
    <w:rsid w:val="00BC5BEF"/>
    <w:rsid w:val="00BD48AC"/>
    <w:rsid w:val="00BD5F1A"/>
    <w:rsid w:val="00BE1234"/>
    <w:rsid w:val="00BE2FA6"/>
    <w:rsid w:val="00BE333F"/>
    <w:rsid w:val="00BE36B8"/>
    <w:rsid w:val="00BE7406"/>
    <w:rsid w:val="00BE7603"/>
    <w:rsid w:val="00BF13F1"/>
    <w:rsid w:val="00BF3279"/>
    <w:rsid w:val="00BF649C"/>
    <w:rsid w:val="00BF74C7"/>
    <w:rsid w:val="00C015F1"/>
    <w:rsid w:val="00C01DBB"/>
    <w:rsid w:val="00C01F33"/>
    <w:rsid w:val="00C02CC6"/>
    <w:rsid w:val="00C040F7"/>
    <w:rsid w:val="00C044AB"/>
    <w:rsid w:val="00C0532C"/>
    <w:rsid w:val="00C05706"/>
    <w:rsid w:val="00C06184"/>
    <w:rsid w:val="00C07377"/>
    <w:rsid w:val="00C10478"/>
    <w:rsid w:val="00C12107"/>
    <w:rsid w:val="00C14D4B"/>
    <w:rsid w:val="00C154BB"/>
    <w:rsid w:val="00C20058"/>
    <w:rsid w:val="00C268E6"/>
    <w:rsid w:val="00C273A7"/>
    <w:rsid w:val="00C279B5"/>
    <w:rsid w:val="00C27C45"/>
    <w:rsid w:val="00C343A3"/>
    <w:rsid w:val="00C3719D"/>
    <w:rsid w:val="00C37CB2"/>
    <w:rsid w:val="00C44EDF"/>
    <w:rsid w:val="00C473A5"/>
    <w:rsid w:val="00C543B4"/>
    <w:rsid w:val="00C54995"/>
    <w:rsid w:val="00C54D41"/>
    <w:rsid w:val="00C579DF"/>
    <w:rsid w:val="00C60783"/>
    <w:rsid w:val="00C64672"/>
    <w:rsid w:val="00C66729"/>
    <w:rsid w:val="00C70697"/>
    <w:rsid w:val="00C71414"/>
    <w:rsid w:val="00C72093"/>
    <w:rsid w:val="00C72EF4"/>
    <w:rsid w:val="00C744FE"/>
    <w:rsid w:val="00C75D2F"/>
    <w:rsid w:val="00C767BE"/>
    <w:rsid w:val="00C76E3C"/>
    <w:rsid w:val="00C81568"/>
    <w:rsid w:val="00C831BF"/>
    <w:rsid w:val="00C843CF"/>
    <w:rsid w:val="00C9027A"/>
    <w:rsid w:val="00C9068E"/>
    <w:rsid w:val="00C93814"/>
    <w:rsid w:val="00C93C4B"/>
    <w:rsid w:val="00C944AB"/>
    <w:rsid w:val="00C95B40"/>
    <w:rsid w:val="00CA1ED8"/>
    <w:rsid w:val="00CB1D70"/>
    <w:rsid w:val="00CB1F63"/>
    <w:rsid w:val="00CB2298"/>
    <w:rsid w:val="00CB7170"/>
    <w:rsid w:val="00CC040E"/>
    <w:rsid w:val="00CC111F"/>
    <w:rsid w:val="00CC2011"/>
    <w:rsid w:val="00CC3238"/>
    <w:rsid w:val="00CC3EA0"/>
    <w:rsid w:val="00CC7B45"/>
    <w:rsid w:val="00CD1188"/>
    <w:rsid w:val="00CD2ED1"/>
    <w:rsid w:val="00CD337B"/>
    <w:rsid w:val="00CE0424"/>
    <w:rsid w:val="00CE09B9"/>
    <w:rsid w:val="00CE4F5E"/>
    <w:rsid w:val="00CE706A"/>
    <w:rsid w:val="00CE7561"/>
    <w:rsid w:val="00CF1354"/>
    <w:rsid w:val="00CF3B1F"/>
    <w:rsid w:val="00CF3BF6"/>
    <w:rsid w:val="00CF4C13"/>
    <w:rsid w:val="00CF625B"/>
    <w:rsid w:val="00CF687E"/>
    <w:rsid w:val="00CF705D"/>
    <w:rsid w:val="00D0349B"/>
    <w:rsid w:val="00D0420E"/>
    <w:rsid w:val="00D0551A"/>
    <w:rsid w:val="00D06E8F"/>
    <w:rsid w:val="00D07FF7"/>
    <w:rsid w:val="00D10249"/>
    <w:rsid w:val="00D115C3"/>
    <w:rsid w:val="00D11793"/>
    <w:rsid w:val="00D11897"/>
    <w:rsid w:val="00D13135"/>
    <w:rsid w:val="00D13E4E"/>
    <w:rsid w:val="00D239A7"/>
    <w:rsid w:val="00D23F47"/>
    <w:rsid w:val="00D2561A"/>
    <w:rsid w:val="00D257F6"/>
    <w:rsid w:val="00D36943"/>
    <w:rsid w:val="00D36D50"/>
    <w:rsid w:val="00D36E71"/>
    <w:rsid w:val="00D37D87"/>
    <w:rsid w:val="00D40B33"/>
    <w:rsid w:val="00D4318F"/>
    <w:rsid w:val="00D438BF"/>
    <w:rsid w:val="00D440F8"/>
    <w:rsid w:val="00D546FF"/>
    <w:rsid w:val="00D55AD5"/>
    <w:rsid w:val="00D576CA"/>
    <w:rsid w:val="00D57BFF"/>
    <w:rsid w:val="00D60BB4"/>
    <w:rsid w:val="00D61AF5"/>
    <w:rsid w:val="00D61DE1"/>
    <w:rsid w:val="00D652B5"/>
    <w:rsid w:val="00D66155"/>
    <w:rsid w:val="00D708B0"/>
    <w:rsid w:val="00D72FE5"/>
    <w:rsid w:val="00D74F1C"/>
    <w:rsid w:val="00D75646"/>
    <w:rsid w:val="00D77B1D"/>
    <w:rsid w:val="00D8021F"/>
    <w:rsid w:val="00D80383"/>
    <w:rsid w:val="00D823C6"/>
    <w:rsid w:val="00D8327F"/>
    <w:rsid w:val="00D85251"/>
    <w:rsid w:val="00D86CA3"/>
    <w:rsid w:val="00D871CE"/>
    <w:rsid w:val="00D87AAE"/>
    <w:rsid w:val="00D9196D"/>
    <w:rsid w:val="00D92982"/>
    <w:rsid w:val="00DA141B"/>
    <w:rsid w:val="00DA1D73"/>
    <w:rsid w:val="00DA305E"/>
    <w:rsid w:val="00DA46A0"/>
    <w:rsid w:val="00DA5417"/>
    <w:rsid w:val="00DA56E8"/>
    <w:rsid w:val="00DA79B2"/>
    <w:rsid w:val="00DB0A9F"/>
    <w:rsid w:val="00DB377D"/>
    <w:rsid w:val="00DC0A2E"/>
    <w:rsid w:val="00DC2D36"/>
    <w:rsid w:val="00DC53EF"/>
    <w:rsid w:val="00DE5608"/>
    <w:rsid w:val="00DE58D0"/>
    <w:rsid w:val="00DE5B43"/>
    <w:rsid w:val="00DE654F"/>
    <w:rsid w:val="00DF0B6E"/>
    <w:rsid w:val="00DF15E0"/>
    <w:rsid w:val="00DF2656"/>
    <w:rsid w:val="00DF37A0"/>
    <w:rsid w:val="00DF66E1"/>
    <w:rsid w:val="00E00307"/>
    <w:rsid w:val="00E110E7"/>
    <w:rsid w:val="00E11B20"/>
    <w:rsid w:val="00E11ED4"/>
    <w:rsid w:val="00E14E81"/>
    <w:rsid w:val="00E17FA2"/>
    <w:rsid w:val="00E22330"/>
    <w:rsid w:val="00E25DBB"/>
    <w:rsid w:val="00E30B5A"/>
    <w:rsid w:val="00E3123D"/>
    <w:rsid w:val="00E31461"/>
    <w:rsid w:val="00E31D43"/>
    <w:rsid w:val="00E32608"/>
    <w:rsid w:val="00E34180"/>
    <w:rsid w:val="00E34188"/>
    <w:rsid w:val="00E34B6E"/>
    <w:rsid w:val="00E35559"/>
    <w:rsid w:val="00E3723A"/>
    <w:rsid w:val="00E37860"/>
    <w:rsid w:val="00E446F1"/>
    <w:rsid w:val="00E4630D"/>
    <w:rsid w:val="00E46886"/>
    <w:rsid w:val="00E4744B"/>
    <w:rsid w:val="00E47AEF"/>
    <w:rsid w:val="00E53B75"/>
    <w:rsid w:val="00E54E3B"/>
    <w:rsid w:val="00E57565"/>
    <w:rsid w:val="00E63838"/>
    <w:rsid w:val="00E64434"/>
    <w:rsid w:val="00E670F8"/>
    <w:rsid w:val="00E67C51"/>
    <w:rsid w:val="00E72EFC"/>
    <w:rsid w:val="00E758EC"/>
    <w:rsid w:val="00E8234C"/>
    <w:rsid w:val="00E83AA9"/>
    <w:rsid w:val="00E85928"/>
    <w:rsid w:val="00E87822"/>
    <w:rsid w:val="00E90395"/>
    <w:rsid w:val="00E90E49"/>
    <w:rsid w:val="00E917F9"/>
    <w:rsid w:val="00E9291C"/>
    <w:rsid w:val="00E93FFE"/>
    <w:rsid w:val="00E94F8A"/>
    <w:rsid w:val="00EA0951"/>
    <w:rsid w:val="00EA3A68"/>
    <w:rsid w:val="00EA77EB"/>
    <w:rsid w:val="00EA7A41"/>
    <w:rsid w:val="00EB077B"/>
    <w:rsid w:val="00EB4EA2"/>
    <w:rsid w:val="00EC24D5"/>
    <w:rsid w:val="00EC27C6"/>
    <w:rsid w:val="00EC4207"/>
    <w:rsid w:val="00EC5653"/>
    <w:rsid w:val="00EC71CE"/>
    <w:rsid w:val="00ED1006"/>
    <w:rsid w:val="00ED1D0B"/>
    <w:rsid w:val="00ED3EB5"/>
    <w:rsid w:val="00EE14BE"/>
    <w:rsid w:val="00EE298E"/>
    <w:rsid w:val="00EF1124"/>
    <w:rsid w:val="00EF18FE"/>
    <w:rsid w:val="00EF5787"/>
    <w:rsid w:val="00EF60D0"/>
    <w:rsid w:val="00F0528D"/>
    <w:rsid w:val="00F06C67"/>
    <w:rsid w:val="00F06DFD"/>
    <w:rsid w:val="00F071D1"/>
    <w:rsid w:val="00F07533"/>
    <w:rsid w:val="00F10629"/>
    <w:rsid w:val="00F1583D"/>
    <w:rsid w:val="00F15FA5"/>
    <w:rsid w:val="00F209B7"/>
    <w:rsid w:val="00F20F5C"/>
    <w:rsid w:val="00F2376F"/>
    <w:rsid w:val="00F243D8"/>
    <w:rsid w:val="00F30828"/>
    <w:rsid w:val="00F313D6"/>
    <w:rsid w:val="00F40F0C"/>
    <w:rsid w:val="00F4766C"/>
    <w:rsid w:val="00F5060E"/>
    <w:rsid w:val="00F507D1"/>
    <w:rsid w:val="00F519CE"/>
    <w:rsid w:val="00F51ADA"/>
    <w:rsid w:val="00F53377"/>
    <w:rsid w:val="00F57DC3"/>
    <w:rsid w:val="00F60203"/>
    <w:rsid w:val="00F607C5"/>
    <w:rsid w:val="00F60DEA"/>
    <w:rsid w:val="00F6302A"/>
    <w:rsid w:val="00F63950"/>
    <w:rsid w:val="00F649A9"/>
    <w:rsid w:val="00F64C2B"/>
    <w:rsid w:val="00F651BE"/>
    <w:rsid w:val="00F670D9"/>
    <w:rsid w:val="00F67F53"/>
    <w:rsid w:val="00F703BE"/>
    <w:rsid w:val="00F70B75"/>
    <w:rsid w:val="00F71F69"/>
    <w:rsid w:val="00F72B72"/>
    <w:rsid w:val="00F74BB9"/>
    <w:rsid w:val="00F75582"/>
    <w:rsid w:val="00F76EFA"/>
    <w:rsid w:val="00F80480"/>
    <w:rsid w:val="00F804BE"/>
    <w:rsid w:val="00F817CE"/>
    <w:rsid w:val="00F8456C"/>
    <w:rsid w:val="00F859D8"/>
    <w:rsid w:val="00F868F5"/>
    <w:rsid w:val="00F9056A"/>
    <w:rsid w:val="00F90F8D"/>
    <w:rsid w:val="00F92782"/>
    <w:rsid w:val="00F93AA9"/>
    <w:rsid w:val="00F96985"/>
    <w:rsid w:val="00F97838"/>
    <w:rsid w:val="00FA2BB3"/>
    <w:rsid w:val="00FA2C62"/>
    <w:rsid w:val="00FB2AAB"/>
    <w:rsid w:val="00FB2EF7"/>
    <w:rsid w:val="00FB4C80"/>
    <w:rsid w:val="00FB6A6A"/>
    <w:rsid w:val="00FC7429"/>
    <w:rsid w:val="00FD07F6"/>
    <w:rsid w:val="00FD1EC8"/>
    <w:rsid w:val="00FD43D9"/>
    <w:rsid w:val="00FD47ED"/>
    <w:rsid w:val="00FD58FE"/>
    <w:rsid w:val="00FD74DB"/>
    <w:rsid w:val="00FD7660"/>
    <w:rsid w:val="00FE0655"/>
    <w:rsid w:val="00FE177C"/>
    <w:rsid w:val="00FE2365"/>
    <w:rsid w:val="00FE37D7"/>
    <w:rsid w:val="00FE4C7B"/>
    <w:rsid w:val="00FE7336"/>
    <w:rsid w:val="00FE787C"/>
    <w:rsid w:val="00FF4035"/>
    <w:rsid w:val="00FF45A5"/>
    <w:rsid w:val="00FF5247"/>
    <w:rsid w:val="00FF5C91"/>
    <w:rsid w:val="52200956"/>
    <w:rsid w:val="649A70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CC0AFB3-B4BC-42CB-A10F-4B4CBC08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2D229A"/>
    <w:rPr>
      <w:rFonts w:ascii="Times New Roman" w:hAnsi="Times New Roman"/>
      <w:lang w:eastAsia="ja-JP"/>
    </w:rPr>
  </w:style>
  <w:style w:type="character" w:customStyle="1" w:styleId="B1Zchn">
    <w:name w:val="B1 Zchn"/>
    <w:qFormat/>
    <w:rsid w:val="00083A32"/>
    <w:rPr>
      <w:rFonts w:eastAsia="Times New Roman"/>
    </w:rPr>
  </w:style>
  <w:style w:type="character" w:styleId="Mention">
    <w:name w:val="Mention"/>
    <w:basedOn w:val="DefaultParagraphFont"/>
    <w:uiPriority w:val="99"/>
    <w:unhideWhenUsed/>
    <w:rsid w:val="002119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2E24A3-1848-479A-988A-F1D55DE40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42</TotalTime>
  <Pages>6</Pages>
  <Words>2453</Words>
  <Characters>13986</Characters>
  <Application>Microsoft Office Word</Application>
  <DocSecurity>0</DocSecurity>
  <Lines>116</Lines>
  <Paragraphs>32</Paragraphs>
  <ScaleCrop>false</ScaleCrop>
  <Company>Ericsson</Company>
  <LinksUpToDate>false</LinksUpToDate>
  <CharactersWithSpaces>16407</CharactersWithSpaces>
  <SharedDoc>false</SharedDoc>
  <HLinks>
    <vt:vector size="102" baseType="variant">
      <vt:variant>
        <vt:i4>1966130</vt:i4>
      </vt:variant>
      <vt:variant>
        <vt:i4>59</vt:i4>
      </vt:variant>
      <vt:variant>
        <vt:i4>0</vt:i4>
      </vt:variant>
      <vt:variant>
        <vt:i4>5</vt:i4>
      </vt:variant>
      <vt:variant>
        <vt:lpwstr/>
      </vt:variant>
      <vt:variant>
        <vt:lpwstr>_Toc173942450</vt:lpwstr>
      </vt:variant>
      <vt:variant>
        <vt:i4>2031666</vt:i4>
      </vt:variant>
      <vt:variant>
        <vt:i4>56</vt:i4>
      </vt:variant>
      <vt:variant>
        <vt:i4>0</vt:i4>
      </vt:variant>
      <vt:variant>
        <vt:i4>5</vt:i4>
      </vt:variant>
      <vt:variant>
        <vt:lpwstr/>
      </vt:variant>
      <vt:variant>
        <vt:lpwstr>_Toc173942449</vt:lpwstr>
      </vt:variant>
      <vt:variant>
        <vt:i4>2031666</vt:i4>
      </vt:variant>
      <vt:variant>
        <vt:i4>53</vt:i4>
      </vt:variant>
      <vt:variant>
        <vt:i4>0</vt:i4>
      </vt:variant>
      <vt:variant>
        <vt:i4>5</vt:i4>
      </vt:variant>
      <vt:variant>
        <vt:lpwstr/>
      </vt:variant>
      <vt:variant>
        <vt:lpwstr>_Toc173942448</vt:lpwstr>
      </vt:variant>
      <vt:variant>
        <vt:i4>2031666</vt:i4>
      </vt:variant>
      <vt:variant>
        <vt:i4>50</vt:i4>
      </vt:variant>
      <vt:variant>
        <vt:i4>0</vt:i4>
      </vt:variant>
      <vt:variant>
        <vt:i4>5</vt:i4>
      </vt:variant>
      <vt:variant>
        <vt:lpwstr/>
      </vt:variant>
      <vt:variant>
        <vt:lpwstr>_Toc173942447</vt:lpwstr>
      </vt:variant>
      <vt:variant>
        <vt:i4>2031666</vt:i4>
      </vt:variant>
      <vt:variant>
        <vt:i4>47</vt:i4>
      </vt:variant>
      <vt:variant>
        <vt:i4>0</vt:i4>
      </vt:variant>
      <vt:variant>
        <vt:i4>5</vt:i4>
      </vt:variant>
      <vt:variant>
        <vt:lpwstr/>
      </vt:variant>
      <vt:variant>
        <vt:lpwstr>_Toc173942446</vt:lpwstr>
      </vt:variant>
      <vt:variant>
        <vt:i4>2031666</vt:i4>
      </vt:variant>
      <vt:variant>
        <vt:i4>44</vt:i4>
      </vt:variant>
      <vt:variant>
        <vt:i4>0</vt:i4>
      </vt:variant>
      <vt:variant>
        <vt:i4>5</vt:i4>
      </vt:variant>
      <vt:variant>
        <vt:lpwstr/>
      </vt:variant>
      <vt:variant>
        <vt:lpwstr>_Toc173942445</vt:lpwstr>
      </vt:variant>
      <vt:variant>
        <vt:i4>2031666</vt:i4>
      </vt:variant>
      <vt:variant>
        <vt:i4>41</vt:i4>
      </vt:variant>
      <vt:variant>
        <vt:i4>0</vt:i4>
      </vt:variant>
      <vt:variant>
        <vt:i4>5</vt:i4>
      </vt:variant>
      <vt:variant>
        <vt:lpwstr/>
      </vt:variant>
      <vt:variant>
        <vt:lpwstr>_Toc173942444</vt:lpwstr>
      </vt:variant>
      <vt:variant>
        <vt:i4>2031666</vt:i4>
      </vt:variant>
      <vt:variant>
        <vt:i4>38</vt:i4>
      </vt:variant>
      <vt:variant>
        <vt:i4>0</vt:i4>
      </vt:variant>
      <vt:variant>
        <vt:i4>5</vt:i4>
      </vt:variant>
      <vt:variant>
        <vt:lpwstr/>
      </vt:variant>
      <vt:variant>
        <vt:lpwstr>_Toc173942443</vt:lpwstr>
      </vt:variant>
      <vt:variant>
        <vt:i4>2031666</vt:i4>
      </vt:variant>
      <vt:variant>
        <vt:i4>32</vt:i4>
      </vt:variant>
      <vt:variant>
        <vt:i4>0</vt:i4>
      </vt:variant>
      <vt:variant>
        <vt:i4>5</vt:i4>
      </vt:variant>
      <vt:variant>
        <vt:lpwstr/>
      </vt:variant>
      <vt:variant>
        <vt:lpwstr>_Toc173942442</vt:lpwstr>
      </vt:variant>
      <vt:variant>
        <vt:i4>2031666</vt:i4>
      </vt:variant>
      <vt:variant>
        <vt:i4>29</vt:i4>
      </vt:variant>
      <vt:variant>
        <vt:i4>0</vt:i4>
      </vt:variant>
      <vt:variant>
        <vt:i4>5</vt:i4>
      </vt:variant>
      <vt:variant>
        <vt:lpwstr/>
      </vt:variant>
      <vt:variant>
        <vt:lpwstr>_Toc173942441</vt:lpwstr>
      </vt:variant>
      <vt:variant>
        <vt:i4>2031666</vt:i4>
      </vt:variant>
      <vt:variant>
        <vt:i4>26</vt:i4>
      </vt:variant>
      <vt:variant>
        <vt:i4>0</vt:i4>
      </vt:variant>
      <vt:variant>
        <vt:i4>5</vt:i4>
      </vt:variant>
      <vt:variant>
        <vt:lpwstr/>
      </vt:variant>
      <vt:variant>
        <vt:lpwstr>_Toc173942440</vt:lpwstr>
      </vt:variant>
      <vt:variant>
        <vt:i4>1572914</vt:i4>
      </vt:variant>
      <vt:variant>
        <vt:i4>23</vt:i4>
      </vt:variant>
      <vt:variant>
        <vt:i4>0</vt:i4>
      </vt:variant>
      <vt:variant>
        <vt:i4>5</vt:i4>
      </vt:variant>
      <vt:variant>
        <vt:lpwstr/>
      </vt:variant>
      <vt:variant>
        <vt:lpwstr>_Toc173942439</vt:lpwstr>
      </vt:variant>
      <vt:variant>
        <vt:i4>1572914</vt:i4>
      </vt:variant>
      <vt:variant>
        <vt:i4>20</vt:i4>
      </vt:variant>
      <vt:variant>
        <vt:i4>0</vt:i4>
      </vt:variant>
      <vt:variant>
        <vt:i4>5</vt:i4>
      </vt:variant>
      <vt:variant>
        <vt:lpwstr/>
      </vt:variant>
      <vt:variant>
        <vt:lpwstr>_Toc173942438</vt:lpwstr>
      </vt:variant>
      <vt:variant>
        <vt:i4>1572914</vt:i4>
      </vt:variant>
      <vt:variant>
        <vt:i4>17</vt:i4>
      </vt:variant>
      <vt:variant>
        <vt:i4>0</vt:i4>
      </vt:variant>
      <vt:variant>
        <vt:i4>5</vt:i4>
      </vt:variant>
      <vt:variant>
        <vt:lpwstr/>
      </vt:variant>
      <vt:variant>
        <vt:lpwstr>_Toc173942437</vt:lpwstr>
      </vt:variant>
      <vt:variant>
        <vt:i4>1572914</vt:i4>
      </vt:variant>
      <vt:variant>
        <vt:i4>14</vt:i4>
      </vt:variant>
      <vt:variant>
        <vt:i4>0</vt:i4>
      </vt:variant>
      <vt:variant>
        <vt:i4>5</vt:i4>
      </vt:variant>
      <vt:variant>
        <vt:lpwstr/>
      </vt:variant>
      <vt:variant>
        <vt:lpwstr>_Toc173942436</vt:lpwstr>
      </vt:variant>
      <vt:variant>
        <vt:i4>1572914</vt:i4>
      </vt:variant>
      <vt:variant>
        <vt:i4>11</vt:i4>
      </vt:variant>
      <vt:variant>
        <vt:i4>0</vt:i4>
      </vt:variant>
      <vt:variant>
        <vt:i4>5</vt:i4>
      </vt:variant>
      <vt:variant>
        <vt:lpwstr/>
      </vt:variant>
      <vt:variant>
        <vt:lpwstr>_Toc173942435</vt:lpwstr>
      </vt:variant>
      <vt:variant>
        <vt:i4>2228315</vt:i4>
      </vt:variant>
      <vt:variant>
        <vt:i4>0</vt:i4>
      </vt:variant>
      <vt:variant>
        <vt:i4>0</vt:i4>
      </vt:variant>
      <vt:variant>
        <vt:i4>5</vt:i4>
      </vt:variant>
      <vt:variant>
        <vt:lpwstr>mailto:marco.belleschi@ericsson.com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51</cp:revision>
  <cp:lastPrinted>2008-01-31T16:09:00Z</cp:lastPrinted>
  <dcterms:created xsi:type="dcterms:W3CDTF">2024-08-08T19:44:00Z</dcterms:created>
  <dcterms:modified xsi:type="dcterms:W3CDTF">2024-08-08T22:27:00Z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